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6298B" w14:textId="7E7CB7DB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25748">
        <w:rPr>
          <w:b/>
          <w:sz w:val="24"/>
          <w:szCs w:val="24"/>
          <w:lang w:eastAsia="ko-KR"/>
        </w:rPr>
        <w:t xml:space="preserve"> </w:t>
      </w:r>
      <w:r w:rsidR="009C7149">
        <w:rPr>
          <w:b/>
          <w:sz w:val="24"/>
          <w:szCs w:val="24"/>
          <w:lang w:eastAsia="ko-KR"/>
        </w:rPr>
        <w:t>meeting #8</w:t>
      </w:r>
      <w:r w:rsidR="0068172E">
        <w:rPr>
          <w:b/>
          <w:sz w:val="24"/>
          <w:szCs w:val="24"/>
          <w:lang w:eastAsia="ko-KR"/>
        </w:rPr>
        <w:t>9</w:t>
      </w:r>
      <w:bookmarkStart w:id="2" w:name="_GoBack"/>
      <w:bookmarkEnd w:id="2"/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FB3D14" w:rsidRPr="00FB3D14">
        <w:rPr>
          <w:b/>
          <w:i/>
          <w:noProof/>
          <w:sz w:val="24"/>
          <w:szCs w:val="24"/>
          <w:lang w:eastAsia="ko-KR"/>
        </w:rPr>
        <w:t>1708064</w:t>
      </w:r>
    </w:p>
    <w:bookmarkEnd w:id="0"/>
    <w:bookmarkEnd w:id="1"/>
    <w:p w14:paraId="6FA48CF7" w14:textId="77777777" w:rsidR="006D2ED0" w:rsidRPr="00C51967" w:rsidRDefault="00951FEB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951FEB">
        <w:rPr>
          <w:b/>
          <w:bCs/>
          <w:noProof/>
          <w:sz w:val="24"/>
          <w:szCs w:val="24"/>
          <w:lang w:eastAsia="ko-KR"/>
        </w:rPr>
        <w:t xml:space="preserve">Hangzhou, </w:t>
      </w:r>
      <w:r w:rsidRPr="00951FEB">
        <w:rPr>
          <w:rFonts w:hint="eastAsia"/>
          <w:b/>
          <w:bCs/>
          <w:noProof/>
          <w:sz w:val="24"/>
          <w:szCs w:val="24"/>
          <w:lang w:eastAsia="ko-KR"/>
        </w:rPr>
        <w:t>P.R. China</w:t>
      </w:r>
      <w:r w:rsidRPr="00951FEB">
        <w:rPr>
          <w:b/>
          <w:bCs/>
          <w:noProof/>
          <w:sz w:val="24"/>
          <w:szCs w:val="24"/>
          <w:lang w:eastAsia="ko-KR"/>
        </w:rPr>
        <w:t xml:space="preserve"> </w:t>
      </w:r>
      <w:r w:rsidRPr="00951FEB">
        <w:rPr>
          <w:rFonts w:hint="eastAsia"/>
          <w:b/>
          <w:bCs/>
          <w:noProof/>
          <w:sz w:val="24"/>
          <w:szCs w:val="24"/>
          <w:lang w:eastAsia="ko-KR"/>
        </w:rPr>
        <w:t xml:space="preserve">15th </w:t>
      </w:r>
      <w:r w:rsidRPr="00951FEB">
        <w:rPr>
          <w:b/>
          <w:bCs/>
          <w:noProof/>
          <w:sz w:val="24"/>
          <w:szCs w:val="24"/>
          <w:lang w:eastAsia="ko-KR"/>
        </w:rPr>
        <w:t xml:space="preserve">– </w:t>
      </w:r>
      <w:r w:rsidRPr="00951FEB">
        <w:rPr>
          <w:rFonts w:hint="eastAsia"/>
          <w:b/>
          <w:bCs/>
          <w:noProof/>
          <w:sz w:val="24"/>
          <w:szCs w:val="24"/>
          <w:lang w:eastAsia="ko-KR"/>
        </w:rPr>
        <w:t>19th</w:t>
      </w:r>
      <w:r w:rsidRPr="00951FEB">
        <w:rPr>
          <w:b/>
          <w:bCs/>
          <w:noProof/>
          <w:sz w:val="24"/>
          <w:szCs w:val="24"/>
          <w:lang w:eastAsia="ko-KR"/>
        </w:rPr>
        <w:t xml:space="preserve"> </w:t>
      </w:r>
      <w:r w:rsidRPr="00951FEB">
        <w:rPr>
          <w:rFonts w:hint="eastAsia"/>
          <w:b/>
          <w:bCs/>
          <w:noProof/>
          <w:sz w:val="24"/>
          <w:szCs w:val="24"/>
          <w:lang w:eastAsia="ko-KR"/>
        </w:rPr>
        <w:t>May</w:t>
      </w:r>
      <w:r w:rsidRPr="00951FEB">
        <w:rPr>
          <w:b/>
          <w:bCs/>
          <w:noProof/>
          <w:sz w:val="24"/>
          <w:szCs w:val="24"/>
          <w:lang w:eastAsia="ko-KR"/>
        </w:rPr>
        <w:t xml:space="preserve"> 201</w:t>
      </w:r>
      <w:r w:rsidRPr="00951FEB">
        <w:rPr>
          <w:rFonts w:hint="eastAsia"/>
          <w:b/>
          <w:bCs/>
          <w:noProof/>
          <w:sz w:val="24"/>
          <w:szCs w:val="24"/>
          <w:lang w:eastAsia="ko-KR"/>
        </w:rPr>
        <w:t>7</w:t>
      </w:r>
    </w:p>
    <w:p w14:paraId="16C0C6E9" w14:textId="7777777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68172E">
        <w:rPr>
          <w:rFonts w:ascii="Arial" w:hAnsi="Arial"/>
          <w:sz w:val="24"/>
        </w:rPr>
        <w:t>7</w:t>
      </w:r>
      <w:r w:rsidR="00860D8F">
        <w:rPr>
          <w:rFonts w:ascii="Arial" w:hAnsi="Arial"/>
          <w:sz w:val="24"/>
        </w:rPr>
        <w:t>.1.</w:t>
      </w:r>
      <w:r w:rsidR="00FC7DF8">
        <w:rPr>
          <w:rFonts w:ascii="Arial" w:hAnsi="Arial"/>
          <w:sz w:val="24"/>
        </w:rPr>
        <w:t>9</w:t>
      </w:r>
    </w:p>
    <w:p w14:paraId="7C9B90C3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70D8AEA" w14:textId="7EA0371D" w:rsidR="0072162A" w:rsidRPr="00FC7DF8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C7DF8" w:rsidRPr="00FC7DF8">
        <w:rPr>
          <w:rFonts w:ascii="Arial" w:hAnsi="Arial"/>
          <w:sz w:val="24"/>
        </w:rPr>
        <w:t>Fe</w:t>
      </w:r>
      <w:r w:rsidR="00FC7DF8" w:rsidRPr="00FC7DF8">
        <w:rPr>
          <w:rFonts w:ascii="Arial" w:hAnsi="Arial"/>
          <w:iCs/>
          <w:sz w:val="24"/>
        </w:rPr>
        <w:t xml:space="preserve">asibility </w:t>
      </w:r>
      <w:r w:rsidR="003025C5">
        <w:rPr>
          <w:rFonts w:ascii="Arial" w:hAnsi="Arial" w:hint="eastAsia"/>
          <w:iCs/>
          <w:sz w:val="24"/>
          <w:lang w:eastAsia="ko-KR"/>
        </w:rPr>
        <w:t>f</w:t>
      </w:r>
      <w:r w:rsidR="003025C5">
        <w:rPr>
          <w:rFonts w:ascii="Arial" w:hAnsi="Arial"/>
          <w:iCs/>
          <w:sz w:val="24"/>
          <w:lang w:eastAsia="ko-KR"/>
        </w:rPr>
        <w:t>or P</w:t>
      </w:r>
      <w:r w:rsidR="00FC7DF8" w:rsidRPr="00FC7DF8">
        <w:rPr>
          <w:rFonts w:ascii="Arial" w:hAnsi="Arial"/>
          <w:iCs/>
          <w:sz w:val="24"/>
        </w:rPr>
        <w:t xml:space="preserve">ower </w:t>
      </w:r>
      <w:r w:rsidR="003025C5">
        <w:rPr>
          <w:rFonts w:ascii="Arial" w:hAnsi="Arial"/>
          <w:iCs/>
          <w:sz w:val="24"/>
        </w:rPr>
        <w:t>S</w:t>
      </w:r>
      <w:r w:rsidR="00FC7DF8" w:rsidRPr="00FC7DF8">
        <w:rPr>
          <w:rFonts w:ascii="Arial" w:hAnsi="Arial"/>
          <w:iCs/>
          <w:sz w:val="24"/>
        </w:rPr>
        <w:t>haring between LTE and NR</w:t>
      </w:r>
    </w:p>
    <w:p w14:paraId="5D97196F" w14:textId="77777777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3E0A84">
        <w:rPr>
          <w:rFonts w:ascii="Arial" w:hAnsi="Arial"/>
          <w:sz w:val="24"/>
        </w:rPr>
        <w:t>Discussion and decision</w:t>
      </w:r>
    </w:p>
    <w:p w14:paraId="08B79CDB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070935C2" w14:textId="77777777" w:rsidR="006B3212" w:rsidRDefault="006B3212" w:rsidP="005D0E25">
      <w:pPr>
        <w:spacing w:line="288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RAN</w:t>
      </w:r>
      <w:r w:rsidR="00D04686">
        <w:rPr>
          <w:rFonts w:eastAsiaTheme="minorEastAsia"/>
          <w:lang w:val="en-US" w:eastAsia="ko-KR"/>
        </w:rPr>
        <w:t xml:space="preserve">4 asked RAN1 and RAN2 </w:t>
      </w:r>
      <w:r w:rsidRPr="006B3212">
        <w:rPr>
          <w:rFonts w:eastAsiaTheme="minorEastAsia"/>
          <w:lang w:val="en-US" w:eastAsia="ko-KR"/>
        </w:rPr>
        <w:t xml:space="preserve">to study the feasibility of the power sharing mechanism </w:t>
      </w:r>
      <w:r>
        <w:rPr>
          <w:rFonts w:eastAsiaTheme="minorEastAsia"/>
          <w:lang w:val="en-US" w:eastAsia="ko-KR"/>
        </w:rPr>
        <w:t xml:space="preserve">in the context of </w:t>
      </w:r>
      <w:r w:rsidRPr="00C715E7">
        <w:rPr>
          <w:rFonts w:eastAsiaTheme="minorEastAsia"/>
          <w:lang w:val="en-US" w:eastAsia="ko-KR"/>
        </w:rPr>
        <w:t>LTE/NR tight interworking</w:t>
      </w:r>
      <w:r>
        <w:rPr>
          <w:rFonts w:eastAsiaTheme="minorEastAsia"/>
          <w:lang w:val="en-US" w:eastAsia="ko-KR"/>
        </w:rPr>
        <w:t xml:space="preserve"> </w:t>
      </w:r>
      <w:r>
        <w:rPr>
          <w:lang w:val="en-US" w:eastAsia="ko-KR"/>
        </w:rPr>
        <w:t>[</w:t>
      </w:r>
      <w:r w:rsidR="0043303F">
        <w:rPr>
          <w:rFonts w:eastAsiaTheme="minorEastAsia"/>
          <w:lang w:val="en-US" w:eastAsia="ko-KR"/>
        </w:rPr>
        <w:t>1</w:t>
      </w:r>
      <w:r>
        <w:rPr>
          <w:rFonts w:eastAsiaTheme="minorEastAsia"/>
          <w:lang w:val="en-US" w:eastAsia="ko-KR"/>
        </w:rPr>
        <w:t>]</w:t>
      </w:r>
      <w:r w:rsidR="00B6532D">
        <w:rPr>
          <w:rFonts w:eastAsiaTheme="minorEastAsia"/>
          <w:lang w:val="en-US" w:eastAsia="ko-KR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532D" w14:paraId="4DDCF58D" w14:textId="77777777" w:rsidTr="00B6532D">
        <w:tc>
          <w:tcPr>
            <w:tcW w:w="9629" w:type="dxa"/>
          </w:tcPr>
          <w:p w14:paraId="07600FCC" w14:textId="77777777" w:rsidR="00B6532D" w:rsidRPr="007076E8" w:rsidRDefault="00B6532D" w:rsidP="005D0E25">
            <w:pPr>
              <w:spacing w:after="120" w:line="288" w:lineRule="auto"/>
              <w:jc w:val="both"/>
              <w:rPr>
                <w:rFonts w:ascii="Arial" w:hAnsi="Arial" w:cs="Arial"/>
                <w:i/>
              </w:rPr>
            </w:pPr>
            <w:r w:rsidRPr="007076E8">
              <w:rPr>
                <w:rFonts w:ascii="Arial" w:hAnsi="Arial" w:cs="Arial"/>
                <w:i/>
              </w:rPr>
              <w:t>Q5: Is there uplink transmission power sharing between the below 6 GHz and above 6 GHz bands or are the uplink power amplifiers exclusive to below 6 GHz and above 6 GHz bands?</w:t>
            </w:r>
          </w:p>
          <w:p w14:paraId="0B4AC10E" w14:textId="77777777" w:rsidR="00B6532D" w:rsidRDefault="00B6532D" w:rsidP="005D0E25">
            <w:pPr>
              <w:spacing w:line="288" w:lineRule="auto"/>
              <w:jc w:val="both"/>
              <w:rPr>
                <w:lang w:val="en-US" w:eastAsia="ko-KR"/>
              </w:rPr>
            </w:pPr>
            <w:r w:rsidRPr="007076E8">
              <w:rPr>
                <w:rFonts w:ascii="Arial" w:hAnsi="Arial" w:cs="Arial"/>
              </w:rPr>
              <w:t xml:space="preserve">A5: </w:t>
            </w:r>
            <w:r w:rsidRPr="00FA6E1B">
              <w:rPr>
                <w:rFonts w:ascii="Arial" w:hAnsi="Arial" w:cs="Arial"/>
                <w:lang w:val="en-US"/>
              </w:rPr>
              <w:t>In some NSA scenarios</w:t>
            </w:r>
            <w:r>
              <w:rPr>
                <w:rFonts w:ascii="Arial" w:hAnsi="Arial" w:cs="Arial"/>
                <w:lang w:val="en-US"/>
              </w:rPr>
              <w:t>,</w:t>
            </w:r>
            <w:r w:rsidRPr="00FA6E1B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e.g</w:t>
            </w:r>
            <w:r w:rsidRPr="00FA6E1B">
              <w:rPr>
                <w:rFonts w:ascii="Arial" w:hAnsi="Arial" w:cs="Arial"/>
                <w:lang w:val="en-US"/>
              </w:rPr>
              <w:t xml:space="preserve">. </w:t>
            </w:r>
            <w:r>
              <w:rPr>
                <w:rFonts w:ascii="Arial" w:hAnsi="Arial" w:cs="Arial"/>
                <w:lang w:val="en-US"/>
              </w:rPr>
              <w:t xml:space="preserve">when </w:t>
            </w:r>
            <w:r w:rsidRPr="00FA6E1B">
              <w:rPr>
                <w:rFonts w:ascii="Arial" w:hAnsi="Arial" w:cs="Arial"/>
                <w:lang w:val="en-US"/>
              </w:rPr>
              <w:t xml:space="preserve">both LTE and NR are in below 6 GHz, uplink transmission power sharing should be considered to meet SAR requirement in a same principle as UL CA/DC, but RAN4 is not sure whether power sharing between different RATs is feasible from RAN1/2 </w:t>
            </w:r>
            <w:r>
              <w:rPr>
                <w:rFonts w:ascii="Arial" w:hAnsi="Arial" w:cs="Arial"/>
                <w:lang w:val="en-US"/>
              </w:rPr>
              <w:t xml:space="preserve">and </w:t>
            </w:r>
            <w:r w:rsidRPr="00FA6E1B">
              <w:rPr>
                <w:rFonts w:ascii="Arial" w:hAnsi="Arial" w:cs="Arial"/>
                <w:lang w:val="en-US"/>
              </w:rPr>
              <w:t xml:space="preserve">implementation point of view and can't exclude other methods. One </w:t>
            </w:r>
            <w:r>
              <w:rPr>
                <w:rFonts w:ascii="Arial" w:hAnsi="Arial" w:cs="Arial"/>
                <w:lang w:val="en-US"/>
              </w:rPr>
              <w:t>p</w:t>
            </w:r>
            <w:r w:rsidRPr="00FA6E1B">
              <w:rPr>
                <w:rFonts w:ascii="Arial" w:hAnsi="Arial" w:cs="Arial"/>
                <w:lang w:val="en-US"/>
              </w:rPr>
              <w:t xml:space="preserve">ossible way is to simply define independent maximum power for LTE and NR and compliance with the SAR is left to implementation. However, </w:t>
            </w:r>
            <w:r>
              <w:rPr>
                <w:rFonts w:ascii="Arial" w:hAnsi="Arial" w:cs="Arial"/>
                <w:lang w:val="en-US"/>
              </w:rPr>
              <w:t>this</w:t>
            </w:r>
            <w:r w:rsidRPr="00FA6E1B">
              <w:rPr>
                <w:rFonts w:ascii="Arial" w:hAnsi="Arial" w:cs="Arial"/>
                <w:lang w:val="en-US"/>
              </w:rPr>
              <w:t xml:space="preserve"> could require SAR back-off which cannot be controlled by the NW. </w:t>
            </w:r>
            <w:r w:rsidRPr="00B6532D">
              <w:rPr>
                <w:rFonts w:ascii="Arial" w:hAnsi="Arial" w:cs="Arial"/>
                <w:highlight w:val="yellow"/>
                <w:lang w:val="en-US"/>
              </w:rPr>
              <w:t>Therefore, RAN4 would like to ask RAN1 and RAN2 to study the feasibility of the power sharing mechanism as soon as possible.</w:t>
            </w:r>
          </w:p>
        </w:tc>
      </w:tr>
    </w:tbl>
    <w:p w14:paraId="30C4F64B" w14:textId="77777777" w:rsidR="000A4899" w:rsidRDefault="005D0E25" w:rsidP="00FA3F5C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UL transmission p</w:t>
      </w:r>
      <w:r w:rsidR="00DC6972">
        <w:t>ower sharing between LTE and NR</w:t>
      </w:r>
    </w:p>
    <w:p w14:paraId="0F296D72" w14:textId="5F3AE20C" w:rsidR="00A974EE" w:rsidRDefault="00A974EE" w:rsidP="00A974EE">
      <w:pPr>
        <w:spacing w:line="288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LTE</w:t>
      </w:r>
      <w:r w:rsidR="007A1F3C">
        <w:rPr>
          <w:rFonts w:eastAsiaTheme="minorEastAsia"/>
          <w:lang w:val="en-US" w:eastAsia="ko-KR"/>
        </w:rPr>
        <w:t xml:space="preserve"> DC</w:t>
      </w:r>
      <w:r w:rsidR="00D103CC">
        <w:rPr>
          <w:rFonts w:eastAsiaTheme="minorEastAsia"/>
          <w:lang w:val="en-US" w:eastAsia="ko-KR"/>
        </w:rPr>
        <w:t xml:space="preserve"> </w:t>
      </w:r>
      <w:r w:rsidR="007A1F3C">
        <w:rPr>
          <w:rFonts w:eastAsiaTheme="minorEastAsia"/>
          <w:lang w:val="en-US" w:eastAsia="ko-KR"/>
        </w:rPr>
        <w:t xml:space="preserve">defines UL power control for synchronous and asynchronous </w:t>
      </w:r>
      <w:r w:rsidR="00D103CC">
        <w:rPr>
          <w:rFonts w:eastAsiaTheme="minorEastAsia"/>
          <w:lang w:val="en-US" w:eastAsia="ko-KR"/>
        </w:rPr>
        <w:t>operation</w:t>
      </w:r>
      <w:r w:rsidR="007A1F3C"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based on the maximum </w:t>
      </w:r>
      <w:r w:rsidR="00DC01E8">
        <w:rPr>
          <w:rFonts w:eastAsiaTheme="minorEastAsia"/>
          <w:lang w:val="en-US" w:eastAsia="ko-KR"/>
        </w:rPr>
        <w:t>reception/</w:t>
      </w:r>
      <w:r>
        <w:rPr>
          <w:rFonts w:eastAsiaTheme="minorEastAsia"/>
          <w:lang w:val="en-US" w:eastAsia="ko-KR"/>
        </w:rPr>
        <w:t xml:space="preserve">transmission timing difference between </w:t>
      </w:r>
      <w:r w:rsidR="007A1F3C">
        <w:rPr>
          <w:rFonts w:eastAsiaTheme="minorEastAsia"/>
          <w:lang w:val="en-US" w:eastAsia="ko-KR"/>
        </w:rPr>
        <w:t>MCG</w:t>
      </w:r>
      <w:r>
        <w:rPr>
          <w:rFonts w:eastAsiaTheme="minorEastAsia"/>
          <w:lang w:val="en-US" w:eastAsia="ko-KR"/>
        </w:rPr>
        <w:t xml:space="preserve"> and </w:t>
      </w:r>
      <w:r w:rsidR="007A1F3C">
        <w:rPr>
          <w:rFonts w:eastAsiaTheme="minorEastAsia"/>
          <w:lang w:val="en-US" w:eastAsia="ko-KR"/>
        </w:rPr>
        <w:t>SCG</w:t>
      </w:r>
      <w:r>
        <w:rPr>
          <w:rFonts w:eastAsiaTheme="minorEastAsia"/>
          <w:lang w:val="en-US" w:eastAsia="ko-KR"/>
        </w:rPr>
        <w:t xml:space="preserve">. </w:t>
      </w:r>
      <w:r w:rsidR="007A1F3C">
        <w:rPr>
          <w:rFonts w:eastAsiaTheme="minorEastAsia"/>
          <w:lang w:val="en-US" w:eastAsia="ko-KR"/>
        </w:rPr>
        <w:t>T</w:t>
      </w:r>
      <w:r w:rsidRPr="005D0E25">
        <w:rPr>
          <w:rFonts w:eastAsiaTheme="minorEastAsia"/>
          <w:lang w:val="en-US" w:eastAsia="ko-KR"/>
        </w:rPr>
        <w:t>wo types of power control modes are defined</w:t>
      </w:r>
      <w:r w:rsidR="007A1F3C">
        <w:rPr>
          <w:rFonts w:eastAsiaTheme="minorEastAsia"/>
          <w:lang w:val="en-US" w:eastAsia="ko-KR"/>
        </w:rPr>
        <w:t>;</w:t>
      </w:r>
      <w:r w:rsidRPr="005D0E25">
        <w:rPr>
          <w:rFonts w:eastAsiaTheme="minorEastAsia"/>
          <w:lang w:val="en-US" w:eastAsia="ko-KR"/>
        </w:rPr>
        <w:t xml:space="preserve"> mode 1</w:t>
      </w:r>
      <w:r>
        <w:rPr>
          <w:rFonts w:eastAsiaTheme="minorEastAsia"/>
          <w:lang w:val="en-US" w:eastAsia="ko-KR"/>
        </w:rPr>
        <w:t xml:space="preserve"> (for synchronous DC)</w:t>
      </w:r>
      <w:r w:rsidRPr="005D0E25">
        <w:rPr>
          <w:rFonts w:eastAsiaTheme="minorEastAsia"/>
          <w:lang w:val="en-US" w:eastAsia="ko-KR"/>
        </w:rPr>
        <w:t xml:space="preserve"> and mode 2</w:t>
      </w:r>
      <w:r>
        <w:rPr>
          <w:rFonts w:eastAsiaTheme="minorEastAsia"/>
          <w:lang w:val="en-US" w:eastAsia="ko-KR"/>
        </w:rPr>
        <w:t xml:space="preserve"> (for asynchronous DC)</w:t>
      </w:r>
      <w:r w:rsidRPr="005D0E25">
        <w:rPr>
          <w:rFonts w:eastAsiaTheme="minorEastAsia"/>
          <w:lang w:val="en-US" w:eastAsia="ko-KR"/>
        </w:rPr>
        <w:t xml:space="preserve">. In both modes, </w:t>
      </w:r>
      <w:r w:rsidR="00592D1E">
        <w:rPr>
          <w:rFonts w:eastAsiaTheme="minorEastAsia"/>
          <w:lang w:val="en-US" w:eastAsia="ko-KR"/>
        </w:rPr>
        <w:t>a</w:t>
      </w:r>
      <w:r w:rsidR="00D103CC">
        <w:rPr>
          <w:rFonts w:eastAsiaTheme="minorEastAsia"/>
          <w:lang w:val="en-US" w:eastAsia="ko-KR"/>
        </w:rPr>
        <w:t xml:space="preserve"> </w:t>
      </w:r>
      <w:r w:rsidRPr="005D0E25">
        <w:rPr>
          <w:rFonts w:eastAsiaTheme="minorEastAsia"/>
          <w:lang w:val="en-US" w:eastAsia="ko-KR"/>
        </w:rPr>
        <w:t xml:space="preserve">UE is configured with a minimum guaranteed power for each CG, as a </w:t>
      </w:r>
      <w:r w:rsidR="007A1F3C">
        <w:rPr>
          <w:rFonts w:eastAsiaTheme="minorEastAsia"/>
          <w:lang w:val="en-US" w:eastAsia="ko-KR"/>
        </w:rPr>
        <w:t>percentage</w:t>
      </w:r>
      <w:r w:rsidRPr="005D0E25">
        <w:rPr>
          <w:rFonts w:eastAsiaTheme="minorEastAsia"/>
          <w:lang w:val="en-US" w:eastAsia="ko-KR"/>
        </w:rPr>
        <w:t xml:space="preserve"> of the configured maximum UE output power </w:t>
      </w:r>
      <w:proofErr w:type="spellStart"/>
      <w:r w:rsidRPr="005D0E25">
        <w:rPr>
          <w:rFonts w:eastAsiaTheme="minorEastAsia"/>
          <w:lang w:val="en-US" w:eastAsia="ko-KR"/>
        </w:rPr>
        <w:t>P</w:t>
      </w:r>
      <w:r w:rsidRPr="00D103CC">
        <w:rPr>
          <w:rFonts w:eastAsiaTheme="minorEastAsia"/>
          <w:vertAlign w:val="subscript"/>
          <w:lang w:val="en-US" w:eastAsia="ko-KR"/>
        </w:rPr>
        <w:t>cmax</w:t>
      </w:r>
      <w:proofErr w:type="spellEnd"/>
      <w:r w:rsidRPr="005D0E25">
        <w:rPr>
          <w:rFonts w:eastAsiaTheme="minorEastAsia"/>
          <w:lang w:val="en-US" w:eastAsia="ko-KR"/>
        </w:rPr>
        <w:t xml:space="preserve">. In power control mode 1, </w:t>
      </w:r>
      <w:r w:rsidR="00D103CC">
        <w:rPr>
          <w:rFonts w:eastAsiaTheme="minorEastAsia"/>
          <w:lang w:val="en-US" w:eastAsia="ko-KR"/>
        </w:rPr>
        <w:t xml:space="preserve">the </w:t>
      </w:r>
      <w:r w:rsidRPr="005D0E25">
        <w:rPr>
          <w:rFonts w:eastAsiaTheme="minorEastAsia"/>
          <w:lang w:val="en-US" w:eastAsia="ko-KR"/>
        </w:rPr>
        <w:t xml:space="preserve">UE allocates up to the minimum guaranteed power to each CG and any remaining power is shared across MCG and SCG on a per transmission basis according to a priority </w:t>
      </w:r>
      <w:r w:rsidR="007A1F3C">
        <w:rPr>
          <w:rFonts w:eastAsiaTheme="minorEastAsia"/>
          <w:lang w:val="en-US" w:eastAsia="ko-KR"/>
        </w:rPr>
        <w:t xml:space="preserve">of transmitted information </w:t>
      </w:r>
      <w:r w:rsidRPr="005D0E25">
        <w:rPr>
          <w:rFonts w:eastAsiaTheme="minorEastAsia"/>
          <w:lang w:val="en-US" w:eastAsia="ko-KR"/>
        </w:rPr>
        <w:t>type</w:t>
      </w:r>
      <w:r w:rsidR="007A1F3C">
        <w:rPr>
          <w:rFonts w:eastAsiaTheme="minorEastAsia"/>
          <w:lang w:val="en-US" w:eastAsia="ko-KR"/>
        </w:rPr>
        <w:t>s</w:t>
      </w:r>
      <w:r w:rsidRPr="005D0E25">
        <w:rPr>
          <w:rFonts w:eastAsiaTheme="minorEastAsia"/>
          <w:lang w:val="en-US" w:eastAsia="ko-KR"/>
        </w:rPr>
        <w:t xml:space="preserve">. In power control mode 2, the UE reserves the minimum guaranteed power </w:t>
      </w:r>
      <w:r w:rsidR="007A1F3C">
        <w:rPr>
          <w:rFonts w:eastAsiaTheme="minorEastAsia"/>
          <w:lang w:val="en-US" w:eastAsia="ko-KR"/>
        </w:rPr>
        <w:t>for</w:t>
      </w:r>
      <w:r w:rsidRPr="005D0E25">
        <w:rPr>
          <w:rFonts w:eastAsiaTheme="minorEastAsia"/>
          <w:lang w:val="en-US" w:eastAsia="ko-KR"/>
        </w:rPr>
        <w:t xml:space="preserve"> each CG and any remaining power is first made available to the CG where transmission starts earlie</w:t>
      </w:r>
      <w:r w:rsidR="007A1F3C">
        <w:rPr>
          <w:rFonts w:eastAsiaTheme="minorEastAsia"/>
          <w:lang w:val="en-US" w:eastAsia="ko-KR"/>
        </w:rPr>
        <w:t>r</w:t>
      </w:r>
      <w:r w:rsidRPr="005D0E25">
        <w:rPr>
          <w:rFonts w:eastAsiaTheme="minorEastAsia"/>
          <w:lang w:val="en-US" w:eastAsia="ko-KR"/>
        </w:rPr>
        <w:t xml:space="preserve"> in time.</w:t>
      </w:r>
      <w:r w:rsidR="00A772AC">
        <w:rPr>
          <w:rFonts w:eastAsiaTheme="minorEastAsia"/>
          <w:lang w:val="en-US" w:eastAsia="ko-KR"/>
        </w:rPr>
        <w:t xml:space="preserve"> Therefore, given UE transmit power constraints (</w:t>
      </w:r>
      <w:proofErr w:type="spellStart"/>
      <w:r w:rsidR="00A772AC" w:rsidRPr="005D0E25">
        <w:rPr>
          <w:rFonts w:eastAsiaTheme="minorEastAsia"/>
          <w:lang w:val="en-US" w:eastAsia="ko-KR"/>
        </w:rPr>
        <w:t>P</w:t>
      </w:r>
      <w:r w:rsidR="00A772AC" w:rsidRPr="00D103CC">
        <w:rPr>
          <w:rFonts w:eastAsiaTheme="minorEastAsia"/>
          <w:vertAlign w:val="subscript"/>
          <w:lang w:val="en-US" w:eastAsia="ko-KR"/>
        </w:rPr>
        <w:t>cmax</w:t>
      </w:r>
      <w:proofErr w:type="spellEnd"/>
      <w:r w:rsidR="00A772AC">
        <w:rPr>
          <w:rFonts w:eastAsiaTheme="minorEastAsia"/>
          <w:lang w:val="en-US" w:eastAsia="ko-KR"/>
        </w:rPr>
        <w:t>), LTE DC power control modes target minimum guaranteed power per CG as well as priority transmission (</w:t>
      </w:r>
      <w:r w:rsidR="00A772AC" w:rsidRPr="00B03AD0">
        <w:rPr>
          <w:rFonts w:eastAsiaTheme="minorEastAsia"/>
          <w:lang w:val="en-US" w:eastAsia="ko-KR"/>
        </w:rPr>
        <w:t>either by signal type or by transmission</w:t>
      </w:r>
      <w:r w:rsidR="00A772AC">
        <w:rPr>
          <w:rFonts w:eastAsiaTheme="minorEastAsia"/>
          <w:lang w:val="en-US" w:eastAsia="ko-KR"/>
        </w:rPr>
        <w:t xml:space="preserve"> timing).</w:t>
      </w:r>
    </w:p>
    <w:p w14:paraId="43586BDB" w14:textId="3D01B79B" w:rsidR="00811B5A" w:rsidRDefault="007A1F3C" w:rsidP="005D0E25">
      <w:pPr>
        <w:spacing w:line="288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</w:t>
      </w:r>
      <w:r w:rsidR="00724E73">
        <w:rPr>
          <w:rFonts w:eastAsiaTheme="minorEastAsia"/>
          <w:lang w:val="en-US" w:eastAsia="ko-KR"/>
        </w:rPr>
        <w:t xml:space="preserve">he LTE DC </w:t>
      </w:r>
      <w:r w:rsidR="00A772AC">
        <w:rPr>
          <w:rFonts w:eastAsiaTheme="minorEastAsia"/>
          <w:lang w:val="en-US" w:eastAsia="ko-KR"/>
        </w:rPr>
        <w:t xml:space="preserve">power sharing </w:t>
      </w:r>
      <w:r w:rsidR="00724E73">
        <w:rPr>
          <w:rFonts w:eastAsiaTheme="minorEastAsia"/>
          <w:lang w:val="en-US" w:eastAsia="ko-KR"/>
        </w:rPr>
        <w:t>principle can be also applicable to</w:t>
      </w:r>
      <w:r w:rsidR="006F3DBC">
        <w:rPr>
          <w:rFonts w:eastAsiaTheme="minorEastAsia"/>
          <w:lang w:val="en-US" w:eastAsia="ko-KR"/>
        </w:rPr>
        <w:t xml:space="preserve"> LTE-NR </w:t>
      </w:r>
      <w:r w:rsidR="00724E73">
        <w:rPr>
          <w:rFonts w:eastAsiaTheme="minorEastAsia"/>
          <w:lang w:val="en-US" w:eastAsia="ko-KR"/>
        </w:rPr>
        <w:t>DC in some scenario</w:t>
      </w:r>
      <w:r w:rsidR="00CF5911">
        <w:rPr>
          <w:rFonts w:eastAsiaTheme="minor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 xml:space="preserve"> (without precluding potential variations/enhancements)</w:t>
      </w:r>
      <w:r w:rsidR="00724E73">
        <w:rPr>
          <w:rFonts w:eastAsiaTheme="minorEastAsia"/>
          <w:lang w:val="en-US" w:eastAsia="ko-KR"/>
        </w:rPr>
        <w:t xml:space="preserve">. For example, if </w:t>
      </w:r>
      <w:r>
        <w:rPr>
          <w:rFonts w:eastAsiaTheme="minorEastAsia"/>
          <w:lang w:val="en-US" w:eastAsia="ko-KR"/>
        </w:rPr>
        <w:t xml:space="preserve">a </w:t>
      </w:r>
      <w:r w:rsidR="00724E73">
        <w:rPr>
          <w:rFonts w:eastAsiaTheme="minorEastAsia"/>
          <w:lang w:val="en-US" w:eastAsia="ko-KR"/>
        </w:rPr>
        <w:t>NR carrier operates with 15 kHz subcarrier spacing</w:t>
      </w:r>
      <w:r w:rsidR="00953EEA">
        <w:rPr>
          <w:rFonts w:eastAsiaTheme="minorEastAsia"/>
          <w:lang w:val="en-US" w:eastAsia="ko-KR"/>
        </w:rPr>
        <w:t>,</w:t>
      </w:r>
      <w:r w:rsidR="00724E73">
        <w:rPr>
          <w:rFonts w:eastAsiaTheme="minorEastAsia"/>
          <w:lang w:val="en-US" w:eastAsia="ko-KR"/>
        </w:rPr>
        <w:t xml:space="preserve"> 1ms TTI</w:t>
      </w:r>
      <w:r>
        <w:rPr>
          <w:rFonts w:eastAsiaTheme="minorEastAsia"/>
          <w:lang w:val="en-US" w:eastAsia="ko-KR"/>
        </w:rPr>
        <w:t>,</w:t>
      </w:r>
      <w:r w:rsidR="00724E73">
        <w:rPr>
          <w:rFonts w:eastAsiaTheme="minorEastAsia"/>
          <w:lang w:val="en-US" w:eastAsia="ko-KR"/>
        </w:rPr>
        <w:t xml:space="preserve"> and carrier frequency of below 6 GHz (e.g., 3.5 GHz), then there is no fundamental difference between LTE-NR DC and LTE DC. </w:t>
      </w:r>
      <w:r w:rsidR="00953EEA">
        <w:rPr>
          <w:rFonts w:eastAsiaTheme="minorEastAsia"/>
          <w:lang w:val="en-US" w:eastAsia="ko-KR"/>
        </w:rPr>
        <w:t xml:space="preserve">Therefore, </w:t>
      </w:r>
      <w:r>
        <w:rPr>
          <w:rFonts w:eastAsiaTheme="minorEastAsia"/>
          <w:lang w:val="en-US" w:eastAsia="ko-KR"/>
        </w:rPr>
        <w:t>there is no</w:t>
      </w:r>
      <w:r w:rsidR="00953EEA">
        <w:rPr>
          <w:rFonts w:eastAsiaTheme="minorEastAsia"/>
          <w:lang w:val="en-US" w:eastAsia="ko-KR"/>
        </w:rPr>
        <w:t xml:space="preserve"> feasibility issue in this case even though it is for different RATs. </w:t>
      </w:r>
      <w:r w:rsidR="007B4C1A">
        <w:rPr>
          <w:rFonts w:eastAsiaTheme="minorEastAsia"/>
          <w:lang w:val="en-US" w:eastAsia="ko-KR"/>
        </w:rPr>
        <w:t>The UE architecture, e.g., whether or not to have exclusive power amplifier between LTE and NR, would depend on the carrier frequency difference between LTE and NR.</w:t>
      </w:r>
    </w:p>
    <w:p w14:paraId="322E884D" w14:textId="3BB07052" w:rsidR="00290739" w:rsidRPr="000C3B92" w:rsidRDefault="00290739" w:rsidP="005D0E25">
      <w:pPr>
        <w:spacing w:line="288" w:lineRule="auto"/>
        <w:jc w:val="both"/>
        <w:rPr>
          <w:rFonts w:eastAsiaTheme="minorEastAsia"/>
          <w:b/>
          <w:i/>
          <w:lang w:val="en-US" w:eastAsia="ko-KR"/>
        </w:rPr>
      </w:pPr>
      <w:r w:rsidRPr="000C3B92">
        <w:rPr>
          <w:rFonts w:eastAsiaTheme="minorEastAsia"/>
          <w:b/>
          <w:i/>
          <w:lang w:val="en-US" w:eastAsia="ko-KR"/>
        </w:rPr>
        <w:t>Observation</w:t>
      </w:r>
      <w:r w:rsidR="00DB1397">
        <w:rPr>
          <w:rFonts w:eastAsiaTheme="minorEastAsia"/>
          <w:b/>
          <w:i/>
          <w:lang w:val="en-US" w:eastAsia="ko-KR"/>
        </w:rPr>
        <w:t xml:space="preserve"> 1</w:t>
      </w:r>
      <w:r w:rsidRPr="000C3B92">
        <w:rPr>
          <w:rFonts w:eastAsiaTheme="minorEastAsia"/>
          <w:b/>
          <w:i/>
          <w:lang w:val="en-US" w:eastAsia="ko-KR"/>
        </w:rPr>
        <w:t xml:space="preserve">: Some LTE-NR DC scenarios (e.g., NR carrier with 15 kHz subcarrier spacing and carrier frequency of below 6 GHz) </w:t>
      </w:r>
      <w:r w:rsidR="007F31ED">
        <w:rPr>
          <w:rFonts w:eastAsiaTheme="minorEastAsia"/>
          <w:b/>
          <w:i/>
          <w:lang w:val="en-US" w:eastAsia="ko-KR"/>
        </w:rPr>
        <w:t>are</w:t>
      </w:r>
      <w:r w:rsidRPr="000C3B92">
        <w:rPr>
          <w:rFonts w:eastAsiaTheme="minorEastAsia"/>
          <w:b/>
          <w:i/>
          <w:lang w:val="en-US" w:eastAsia="ko-KR"/>
        </w:rPr>
        <w:t xml:space="preserve"> similar with LTE DC</w:t>
      </w:r>
      <w:r w:rsidR="008D5D0B">
        <w:rPr>
          <w:rFonts w:eastAsiaTheme="minorEastAsia"/>
          <w:b/>
          <w:i/>
          <w:lang w:val="en-US" w:eastAsia="ko-KR"/>
        </w:rPr>
        <w:t xml:space="preserve"> </w:t>
      </w:r>
      <w:r w:rsidR="007F31ED">
        <w:rPr>
          <w:rFonts w:eastAsiaTheme="minorEastAsia"/>
          <w:b/>
          <w:i/>
          <w:lang w:val="en-US" w:eastAsia="ko-KR"/>
        </w:rPr>
        <w:t>and</w:t>
      </w:r>
      <w:r w:rsidR="000C3B92" w:rsidRPr="000C3B92">
        <w:rPr>
          <w:rFonts w:eastAsiaTheme="minorEastAsia"/>
          <w:b/>
          <w:i/>
          <w:lang w:val="en-US" w:eastAsia="ko-KR"/>
        </w:rPr>
        <w:t xml:space="preserve"> </w:t>
      </w:r>
      <w:r w:rsidR="007F31ED">
        <w:rPr>
          <w:rFonts w:eastAsiaTheme="minorEastAsia"/>
          <w:b/>
          <w:i/>
          <w:lang w:val="en-US" w:eastAsia="ko-KR"/>
        </w:rPr>
        <w:t xml:space="preserve">there is </w:t>
      </w:r>
      <w:r w:rsidR="000C3B92" w:rsidRPr="000C3B92">
        <w:rPr>
          <w:rFonts w:eastAsiaTheme="minorEastAsia"/>
          <w:b/>
          <w:i/>
          <w:lang w:val="en-US" w:eastAsia="ko-KR"/>
        </w:rPr>
        <w:t xml:space="preserve">no feasibility issue for power sharing </w:t>
      </w:r>
      <w:r w:rsidR="006A1B37">
        <w:rPr>
          <w:rFonts w:eastAsiaTheme="minorEastAsia"/>
          <w:b/>
          <w:i/>
          <w:lang w:val="en-US" w:eastAsia="ko-KR"/>
        </w:rPr>
        <w:t xml:space="preserve">based on LTE DC principle </w:t>
      </w:r>
      <w:r w:rsidR="000C3B92" w:rsidRPr="000C3B92">
        <w:rPr>
          <w:rFonts w:eastAsiaTheme="minorEastAsia"/>
          <w:b/>
          <w:i/>
          <w:lang w:val="en-US" w:eastAsia="ko-KR"/>
        </w:rPr>
        <w:t>for different RATs.</w:t>
      </w:r>
    </w:p>
    <w:p w14:paraId="3E2FC059" w14:textId="56D7EDA7" w:rsidR="008D3E97" w:rsidRDefault="0074755E" w:rsidP="005D0E25">
      <w:pPr>
        <w:spacing w:line="288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On the other hand, </w:t>
      </w:r>
      <w:r w:rsidR="00DF378D">
        <w:rPr>
          <w:rFonts w:eastAsiaTheme="minorEastAsia"/>
          <w:lang w:val="en-US" w:eastAsia="ko-KR"/>
        </w:rPr>
        <w:t>LTE DC does not support all NR</w:t>
      </w:r>
      <w:r>
        <w:rPr>
          <w:rFonts w:eastAsiaTheme="minorEastAsia"/>
          <w:lang w:val="en-US" w:eastAsia="ko-KR"/>
        </w:rPr>
        <w:t xml:space="preserve"> scenario</w:t>
      </w:r>
      <w:r w:rsidR="00CF5911">
        <w:rPr>
          <w:rFonts w:eastAsiaTheme="minorEastAsia"/>
          <w:lang w:val="en-US" w:eastAsia="ko-KR"/>
        </w:rPr>
        <w:t>s.</w:t>
      </w:r>
      <w:r w:rsidR="001571A3">
        <w:rPr>
          <w:rFonts w:eastAsiaTheme="minorEastAsia"/>
          <w:lang w:val="en-US" w:eastAsia="ko-KR"/>
        </w:rPr>
        <w:t xml:space="preserve"> </w:t>
      </w:r>
      <w:r w:rsidR="005D5820">
        <w:rPr>
          <w:rFonts w:eastAsiaTheme="minorEastAsia"/>
          <w:lang w:val="en-US" w:eastAsia="ko-KR"/>
        </w:rPr>
        <w:t>For example</w:t>
      </w:r>
      <w:r w:rsidR="00CF5911">
        <w:rPr>
          <w:rFonts w:eastAsiaTheme="minorEastAsia"/>
          <w:lang w:val="en-US" w:eastAsia="ko-KR"/>
        </w:rPr>
        <w:t xml:space="preserve">, </w:t>
      </w:r>
      <w:r w:rsidR="00953EEA">
        <w:rPr>
          <w:rFonts w:eastAsiaTheme="minorEastAsia"/>
          <w:lang w:val="en-US" w:eastAsia="ko-KR"/>
        </w:rPr>
        <w:t>NR specific characteristics includ</w:t>
      </w:r>
      <w:r w:rsidR="00C91822">
        <w:rPr>
          <w:rFonts w:eastAsiaTheme="minorEastAsia"/>
          <w:lang w:val="en-US" w:eastAsia="ko-KR"/>
        </w:rPr>
        <w:t>ing</w:t>
      </w:r>
      <w:r w:rsidR="00953EEA">
        <w:rPr>
          <w:rFonts w:eastAsiaTheme="minorEastAsia"/>
          <w:lang w:val="en-US" w:eastAsia="ko-KR"/>
        </w:rPr>
        <w:t xml:space="preserve"> multiple numerolog</w:t>
      </w:r>
      <w:r w:rsidR="001571A3">
        <w:rPr>
          <w:rFonts w:eastAsiaTheme="minorEastAsia"/>
          <w:lang w:val="en-US" w:eastAsia="ko-KR"/>
        </w:rPr>
        <w:t>ies</w:t>
      </w:r>
      <w:r w:rsidR="00953EEA">
        <w:rPr>
          <w:rFonts w:eastAsiaTheme="minorEastAsia"/>
          <w:lang w:val="en-US" w:eastAsia="ko-KR"/>
        </w:rPr>
        <w:t xml:space="preserve"> (subcarrier spacing, TTI, wider bandwidth, etc.), </w:t>
      </w:r>
      <w:r w:rsidR="00CF5911">
        <w:rPr>
          <w:rFonts w:eastAsiaTheme="minorEastAsia"/>
          <w:lang w:val="en-US" w:eastAsia="ko-KR"/>
        </w:rPr>
        <w:t xml:space="preserve">wider range of </w:t>
      </w:r>
      <w:r w:rsidR="00953EEA">
        <w:rPr>
          <w:rFonts w:eastAsiaTheme="minorEastAsia"/>
          <w:lang w:val="en-US" w:eastAsia="ko-KR"/>
        </w:rPr>
        <w:t>operating bands (e.g</w:t>
      </w:r>
      <w:r w:rsidR="00CF5911">
        <w:rPr>
          <w:rFonts w:eastAsiaTheme="minorEastAsia"/>
          <w:lang w:val="en-US" w:eastAsia="ko-KR"/>
        </w:rPr>
        <w:t>.</w:t>
      </w:r>
      <w:r w:rsidR="00953EEA">
        <w:rPr>
          <w:rFonts w:eastAsiaTheme="minorEastAsia"/>
          <w:lang w:val="en-US" w:eastAsia="ko-KR"/>
        </w:rPr>
        <w:t xml:space="preserve">, above 6 GHz), and </w:t>
      </w:r>
      <w:r w:rsidR="00953EEA">
        <w:rPr>
          <w:rFonts w:eastAsiaTheme="minorEastAsia"/>
          <w:lang w:val="en-US" w:eastAsia="ko-KR"/>
        </w:rPr>
        <w:lastRenderedPageBreak/>
        <w:t>multi-beam operation</w:t>
      </w:r>
      <w:r w:rsidR="00C91822">
        <w:rPr>
          <w:rFonts w:eastAsiaTheme="minorEastAsia"/>
          <w:lang w:val="en-US" w:eastAsia="ko-KR"/>
        </w:rPr>
        <w:t xml:space="preserve"> </w:t>
      </w:r>
      <w:r w:rsidR="005D5820">
        <w:rPr>
          <w:rFonts w:eastAsiaTheme="minorEastAsia"/>
          <w:lang w:val="en-US" w:eastAsia="ko-KR"/>
        </w:rPr>
        <w:t>need to be considered</w:t>
      </w:r>
      <w:r w:rsidR="00C91822">
        <w:rPr>
          <w:rFonts w:eastAsiaTheme="minorEastAsia"/>
          <w:lang w:val="en-US" w:eastAsia="ko-KR"/>
        </w:rPr>
        <w:t xml:space="preserve"> for the feasibility study on UL transmit power sharing</w:t>
      </w:r>
      <w:r w:rsidR="00953EEA">
        <w:rPr>
          <w:rFonts w:eastAsiaTheme="minorEastAsia"/>
          <w:lang w:val="en-US" w:eastAsia="ko-KR"/>
        </w:rPr>
        <w:t xml:space="preserve">. </w:t>
      </w:r>
      <w:r w:rsidR="001571A3">
        <w:rPr>
          <w:rFonts w:eastAsiaTheme="minorEastAsia"/>
          <w:lang w:val="en-US" w:eastAsia="ko-KR"/>
        </w:rPr>
        <w:t>For instance</w:t>
      </w:r>
      <w:r w:rsidR="00CF5911">
        <w:rPr>
          <w:rFonts w:eastAsiaTheme="minorEastAsia"/>
          <w:lang w:val="en-US" w:eastAsia="ko-KR"/>
        </w:rPr>
        <w:t xml:space="preserve">, </w:t>
      </w:r>
      <w:r w:rsidR="008D3E97">
        <w:rPr>
          <w:rFonts w:eastAsiaTheme="minorEastAsia"/>
          <w:lang w:val="en-US" w:eastAsia="ko-KR"/>
        </w:rPr>
        <w:t xml:space="preserve">the following combinations for LTE-NR DC </w:t>
      </w:r>
      <w:r w:rsidR="00CF5911">
        <w:rPr>
          <w:rFonts w:eastAsiaTheme="minorEastAsia"/>
          <w:lang w:val="en-US" w:eastAsia="ko-KR"/>
        </w:rPr>
        <w:t xml:space="preserve">are new scenarios which </w:t>
      </w:r>
      <w:r w:rsidR="001571A3">
        <w:rPr>
          <w:rFonts w:eastAsiaTheme="minorEastAsia"/>
          <w:lang w:val="en-US" w:eastAsia="ko-KR"/>
        </w:rPr>
        <w:t>have not been studied for LTE DC</w:t>
      </w:r>
      <w:r w:rsidR="008D3E97">
        <w:rPr>
          <w:rFonts w:eastAsiaTheme="minorEastAsia"/>
          <w:lang w:val="en-US" w:eastAsia="ko-KR"/>
        </w:rPr>
        <w:t>:</w:t>
      </w:r>
    </w:p>
    <w:p w14:paraId="48F2F005" w14:textId="77777777" w:rsidR="008D3E97" w:rsidRDefault="008D3E97" w:rsidP="008D3E97">
      <w:pPr>
        <w:pStyle w:val="a4"/>
        <w:numPr>
          <w:ilvl w:val="0"/>
          <w:numId w:val="15"/>
        </w:numPr>
        <w:spacing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LTE with below 6 GHz and NR with above 6 GHz</w:t>
      </w:r>
      <w:r w:rsidR="001571A3">
        <w:rPr>
          <w:rFonts w:eastAsiaTheme="minorEastAsia"/>
          <w:lang w:val="en-US" w:eastAsia="ko-KR"/>
        </w:rPr>
        <w:t xml:space="preserve">: </w:t>
      </w:r>
      <w:r w:rsidR="00374B46">
        <w:rPr>
          <w:rFonts w:eastAsiaTheme="minorEastAsia"/>
          <w:lang w:val="en-US" w:eastAsia="ko-KR"/>
        </w:rPr>
        <w:t xml:space="preserve">In this scenario, </w:t>
      </w:r>
      <w:r w:rsidR="00FC5C41">
        <w:rPr>
          <w:rFonts w:eastAsiaTheme="minorEastAsia"/>
          <w:lang w:val="en-US" w:eastAsia="ko-KR"/>
        </w:rPr>
        <w:t xml:space="preserve">it is understood that </w:t>
      </w:r>
      <w:r w:rsidR="00374B46">
        <w:rPr>
          <w:rFonts w:eastAsiaTheme="minorEastAsia"/>
          <w:lang w:val="en-US" w:eastAsia="ko-KR"/>
        </w:rPr>
        <w:t xml:space="preserve">the </w:t>
      </w:r>
      <w:r w:rsidR="001571A3" w:rsidRPr="005D0E25">
        <w:rPr>
          <w:rFonts w:eastAsiaTheme="minorEastAsia"/>
          <w:lang w:val="en-US" w:eastAsia="ko-KR"/>
        </w:rPr>
        <w:t>U</w:t>
      </w:r>
      <w:r w:rsidR="001571A3">
        <w:rPr>
          <w:rFonts w:eastAsiaTheme="minorEastAsia"/>
          <w:lang w:val="en-US" w:eastAsia="ko-KR"/>
        </w:rPr>
        <w:t>E</w:t>
      </w:r>
      <w:r w:rsidR="001571A3" w:rsidRPr="005D0E25">
        <w:rPr>
          <w:rFonts w:eastAsiaTheme="minorEastAsia"/>
          <w:lang w:val="en-US" w:eastAsia="ko-KR"/>
        </w:rPr>
        <w:t xml:space="preserve"> power amplifiers </w:t>
      </w:r>
      <w:r w:rsidR="00374B46">
        <w:rPr>
          <w:rFonts w:eastAsiaTheme="minorEastAsia"/>
          <w:lang w:val="en-US" w:eastAsia="ko-KR"/>
        </w:rPr>
        <w:t xml:space="preserve">need to be </w:t>
      </w:r>
      <w:r w:rsidR="001571A3" w:rsidRPr="005D0E25">
        <w:rPr>
          <w:rFonts w:eastAsiaTheme="minorEastAsia"/>
          <w:lang w:val="en-US" w:eastAsia="ko-KR"/>
        </w:rPr>
        <w:t>exclusive to below 6</w:t>
      </w:r>
      <w:r w:rsidR="005D5820">
        <w:rPr>
          <w:rFonts w:eastAsiaTheme="minorEastAsia"/>
          <w:lang w:val="en-US" w:eastAsia="ko-KR"/>
        </w:rPr>
        <w:t xml:space="preserve"> </w:t>
      </w:r>
      <w:r w:rsidR="001571A3" w:rsidRPr="005D0E25">
        <w:rPr>
          <w:rFonts w:eastAsiaTheme="minorEastAsia"/>
          <w:lang w:val="en-US" w:eastAsia="ko-KR"/>
        </w:rPr>
        <w:t>GHz and above 6</w:t>
      </w:r>
      <w:r w:rsidR="005D5820">
        <w:rPr>
          <w:rFonts w:eastAsiaTheme="minorEastAsia"/>
          <w:lang w:val="en-US" w:eastAsia="ko-KR"/>
        </w:rPr>
        <w:t xml:space="preserve"> </w:t>
      </w:r>
      <w:r w:rsidR="001571A3" w:rsidRPr="005D0E25">
        <w:rPr>
          <w:rFonts w:eastAsiaTheme="minorEastAsia"/>
          <w:lang w:val="en-US" w:eastAsia="ko-KR"/>
        </w:rPr>
        <w:t>GHz bands</w:t>
      </w:r>
    </w:p>
    <w:p w14:paraId="2AEED9EB" w14:textId="77777777" w:rsidR="00953EEA" w:rsidRPr="008D3E97" w:rsidRDefault="008D3E97" w:rsidP="008D3E97">
      <w:pPr>
        <w:pStyle w:val="a4"/>
        <w:numPr>
          <w:ilvl w:val="0"/>
          <w:numId w:val="15"/>
        </w:numPr>
        <w:spacing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LTE with 1ms TTI and NR with shorter TTI length (e.g., 0.25 </w:t>
      </w:r>
      <w:proofErr w:type="spellStart"/>
      <w:r>
        <w:rPr>
          <w:rFonts w:eastAsiaTheme="minorEastAsia"/>
          <w:lang w:val="en-US" w:eastAsia="ko-KR"/>
        </w:rPr>
        <w:t>ms</w:t>
      </w:r>
      <w:proofErr w:type="spellEnd"/>
      <w:r>
        <w:rPr>
          <w:rFonts w:eastAsiaTheme="minorEastAsia"/>
          <w:lang w:val="en-US" w:eastAsia="ko-KR"/>
        </w:rPr>
        <w:t>)</w:t>
      </w:r>
      <w:r w:rsidR="00374B46">
        <w:rPr>
          <w:rFonts w:eastAsiaTheme="minorEastAsia"/>
          <w:lang w:val="en-US" w:eastAsia="ko-KR"/>
        </w:rPr>
        <w:t>: In this scenario, the transmission</w:t>
      </w:r>
      <w:r w:rsidR="00B03AD0">
        <w:rPr>
          <w:rFonts w:eastAsiaTheme="minorEastAsia"/>
          <w:lang w:val="en-US" w:eastAsia="ko-KR"/>
        </w:rPr>
        <w:t xml:space="preserve"> with longer TTI</w:t>
      </w:r>
      <w:r w:rsidR="00374B46">
        <w:rPr>
          <w:rFonts w:eastAsiaTheme="minorEastAsia"/>
          <w:lang w:val="en-US" w:eastAsia="ko-KR"/>
        </w:rPr>
        <w:t xml:space="preserve"> would restrict the UL power sharing</w:t>
      </w:r>
      <w:r w:rsidR="00E32974">
        <w:rPr>
          <w:rFonts w:eastAsiaTheme="minorEastAsia"/>
          <w:lang w:val="en-US" w:eastAsia="ko-KR"/>
        </w:rPr>
        <w:t xml:space="preserve"> assuming that the transmission power is maintained during TTI</w:t>
      </w:r>
      <w:r w:rsidR="00837C07">
        <w:rPr>
          <w:rFonts w:eastAsiaTheme="minorEastAsia"/>
          <w:lang w:val="en-US" w:eastAsia="ko-KR"/>
        </w:rPr>
        <w:t>.</w:t>
      </w:r>
      <w:r w:rsidR="005D5820">
        <w:rPr>
          <w:rFonts w:eastAsiaTheme="minorEastAsia"/>
          <w:lang w:val="en-US" w:eastAsia="ko-KR"/>
        </w:rPr>
        <w:t xml:space="preserve"> However, LTE DC power control mode 2 can again be applicable in this case (without precluding enhancements).</w:t>
      </w:r>
    </w:p>
    <w:p w14:paraId="0C39AC0F" w14:textId="77777777" w:rsidR="005D5820" w:rsidRDefault="005D5820" w:rsidP="005D0E25">
      <w:pPr>
        <w:spacing w:line="288" w:lineRule="auto"/>
        <w:jc w:val="both"/>
        <w:rPr>
          <w:rFonts w:eastAsiaTheme="minorEastAsia"/>
          <w:b/>
          <w:i/>
          <w:lang w:val="en-US" w:eastAsia="ko-KR"/>
        </w:rPr>
      </w:pPr>
      <w:r w:rsidRPr="000C3B92">
        <w:rPr>
          <w:rFonts w:eastAsiaTheme="minorEastAsia" w:hint="eastAsia"/>
          <w:b/>
          <w:i/>
          <w:lang w:val="en-US" w:eastAsia="ko-KR"/>
        </w:rPr>
        <w:t>O</w:t>
      </w:r>
      <w:r w:rsidRPr="000C3B92">
        <w:rPr>
          <w:rFonts w:eastAsiaTheme="minorEastAsia"/>
          <w:b/>
          <w:i/>
          <w:lang w:val="en-US" w:eastAsia="ko-KR"/>
        </w:rPr>
        <w:t>bservation</w:t>
      </w:r>
      <w:r>
        <w:rPr>
          <w:rFonts w:eastAsiaTheme="minorEastAsia"/>
          <w:b/>
          <w:i/>
          <w:lang w:val="en-US" w:eastAsia="ko-KR"/>
        </w:rPr>
        <w:t xml:space="preserve"> 2</w:t>
      </w:r>
      <w:r w:rsidRPr="000C3B92">
        <w:rPr>
          <w:rFonts w:eastAsiaTheme="minorEastAsia"/>
          <w:b/>
          <w:i/>
          <w:lang w:val="en-US" w:eastAsia="ko-KR"/>
        </w:rPr>
        <w:t xml:space="preserve">: </w:t>
      </w:r>
      <w:r>
        <w:rPr>
          <w:rFonts w:eastAsiaTheme="minorEastAsia"/>
          <w:b/>
          <w:i/>
          <w:lang w:val="en-US" w:eastAsia="ko-KR"/>
        </w:rPr>
        <w:t>LTE-NR power sharing is feasible in all scenarios at least based on DC power control mode 2 or based on separate power amplifiers between LTE carriers and NR carriers.</w:t>
      </w:r>
    </w:p>
    <w:p w14:paraId="1B8A67E2" w14:textId="6AD287E7" w:rsidR="00B03AD0" w:rsidRDefault="00B03AD0" w:rsidP="005D0E25">
      <w:pPr>
        <w:spacing w:line="288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</w:t>
      </w:r>
      <w:r>
        <w:rPr>
          <w:rFonts w:eastAsiaTheme="minorEastAsia"/>
          <w:lang w:val="en-US" w:eastAsia="ko-KR"/>
        </w:rPr>
        <w:t xml:space="preserve">n order to </w:t>
      </w:r>
      <w:r w:rsidR="005D5820">
        <w:rPr>
          <w:rFonts w:eastAsiaTheme="minorEastAsia"/>
          <w:lang w:val="en-US" w:eastAsia="ko-KR"/>
        </w:rPr>
        <w:t>proceed</w:t>
      </w:r>
      <w:r>
        <w:rPr>
          <w:rFonts w:eastAsiaTheme="minorEastAsia"/>
          <w:lang w:val="en-US" w:eastAsia="ko-KR"/>
        </w:rPr>
        <w:t xml:space="preserve"> with </w:t>
      </w:r>
      <w:r w:rsidR="00565BEE">
        <w:rPr>
          <w:rFonts w:eastAsiaTheme="minorEastAsia"/>
          <w:lang w:val="en-US" w:eastAsia="ko-KR"/>
        </w:rPr>
        <w:t>potential enhancements to LTE DC power control mode 2 for a</w:t>
      </w:r>
      <w:r>
        <w:rPr>
          <w:rFonts w:eastAsiaTheme="minorEastAsia"/>
          <w:lang w:val="en-US" w:eastAsia="ko-KR"/>
        </w:rPr>
        <w:t xml:space="preserve"> </w:t>
      </w:r>
      <w:r w:rsidRPr="00B03AD0">
        <w:rPr>
          <w:rFonts w:eastAsiaTheme="minorEastAsia"/>
          <w:lang w:val="en-US" w:eastAsia="ko-KR"/>
        </w:rPr>
        <w:t xml:space="preserve">power sharing mechanism </w:t>
      </w:r>
      <w:r>
        <w:rPr>
          <w:rFonts w:eastAsiaTheme="minorEastAsia"/>
          <w:lang w:val="en-US" w:eastAsia="ko-KR"/>
        </w:rPr>
        <w:t xml:space="preserve">between LTE and NR, </w:t>
      </w:r>
      <w:r w:rsidR="00565BEE">
        <w:rPr>
          <w:rFonts w:eastAsiaTheme="minorEastAsia"/>
          <w:lang w:val="en-US" w:eastAsia="ko-KR"/>
        </w:rPr>
        <w:t xml:space="preserve">it is beneficial to first identify </w:t>
      </w:r>
      <w:r w:rsidR="0038322D">
        <w:rPr>
          <w:rFonts w:eastAsiaTheme="minorEastAsia"/>
          <w:lang w:val="en-US" w:eastAsia="ko-KR"/>
        </w:rPr>
        <w:t>NR UL power control procedure</w:t>
      </w:r>
      <w:r w:rsidR="00565BEE">
        <w:rPr>
          <w:rFonts w:eastAsiaTheme="minorEastAsia"/>
          <w:lang w:val="en-US" w:eastAsia="ko-KR"/>
        </w:rPr>
        <w:t>s</w:t>
      </w:r>
      <w:r w:rsidR="0038322D">
        <w:rPr>
          <w:rFonts w:eastAsiaTheme="minorEastAsia"/>
          <w:lang w:val="en-US" w:eastAsia="ko-KR"/>
        </w:rPr>
        <w:t xml:space="preserve"> (without aggregation with LTE)</w:t>
      </w:r>
      <w:r w:rsidR="002C1721">
        <w:rPr>
          <w:rFonts w:eastAsiaTheme="minorEastAsia"/>
          <w:lang w:val="en-US" w:eastAsia="ko-KR"/>
        </w:rPr>
        <w:t xml:space="preserve"> in terms of numerology, operating bands, multi-beam operation,</w:t>
      </w:r>
      <w:r w:rsidR="00565BEE">
        <w:rPr>
          <w:rFonts w:eastAsiaTheme="minorEastAsia"/>
          <w:lang w:val="en-US" w:eastAsia="ko-KR"/>
        </w:rPr>
        <w:t xml:space="preserve"> prioritizations,</w:t>
      </w:r>
      <w:r w:rsidR="002C1721">
        <w:rPr>
          <w:rFonts w:eastAsiaTheme="minorEastAsia"/>
          <w:lang w:val="en-US" w:eastAsia="ko-KR"/>
        </w:rPr>
        <w:t xml:space="preserve"> etc.</w:t>
      </w:r>
    </w:p>
    <w:p w14:paraId="27C017EE" w14:textId="7252BD90" w:rsidR="000C3B92" w:rsidRDefault="005D5820" w:rsidP="005D0E25">
      <w:pPr>
        <w:spacing w:line="288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The</w:t>
      </w:r>
      <w:r w:rsidR="000F0C12">
        <w:rPr>
          <w:rFonts w:eastAsiaTheme="minorEastAsia"/>
          <w:lang w:val="en-US" w:eastAsia="ko-KR"/>
        </w:rPr>
        <w:t xml:space="preserve"> SAR requirement</w:t>
      </w:r>
      <w:r w:rsidR="00592D1E">
        <w:rPr>
          <w:rFonts w:eastAsiaTheme="minorEastAsia"/>
          <w:lang w:val="en-US" w:eastAsia="ko-KR"/>
        </w:rPr>
        <w:t xml:space="preserve"> </w:t>
      </w:r>
      <w:r w:rsidR="001571A3">
        <w:rPr>
          <w:rFonts w:eastAsiaTheme="minorEastAsia"/>
          <w:lang w:val="en-US" w:eastAsia="ko-KR"/>
        </w:rPr>
        <w:t xml:space="preserve">can </w:t>
      </w:r>
      <w:r w:rsidR="00B03AD0">
        <w:rPr>
          <w:rFonts w:eastAsiaTheme="minorEastAsia"/>
          <w:lang w:val="en-US" w:eastAsia="ko-KR"/>
        </w:rPr>
        <w:t>be left</w:t>
      </w:r>
      <w:r w:rsidR="001571A3">
        <w:rPr>
          <w:rFonts w:eastAsiaTheme="minorEastAsia"/>
          <w:lang w:val="en-US" w:eastAsia="ko-KR"/>
        </w:rPr>
        <w:t xml:space="preserve"> to UE implementation</w:t>
      </w:r>
      <w:r w:rsidR="00592D1E">
        <w:rPr>
          <w:rFonts w:eastAsiaTheme="minorEastAsia"/>
          <w:lang w:val="en-US" w:eastAsia="ko-KR"/>
        </w:rPr>
        <w:t xml:space="preserve"> as indicated in the RAN4 LS</w:t>
      </w:r>
      <w:r w:rsidR="001571A3">
        <w:rPr>
          <w:rFonts w:eastAsiaTheme="minorEastAsia"/>
          <w:lang w:val="en-US" w:eastAsia="ko-KR"/>
        </w:rPr>
        <w:t>.</w:t>
      </w:r>
    </w:p>
    <w:p w14:paraId="0F62BC3D" w14:textId="525F57A6" w:rsidR="0038322D" w:rsidRPr="0038322D" w:rsidRDefault="00565BEE" w:rsidP="005D0E25">
      <w:pPr>
        <w:spacing w:line="288" w:lineRule="auto"/>
        <w:jc w:val="both"/>
        <w:rPr>
          <w:rFonts w:eastAsiaTheme="minorEastAsia"/>
          <w:b/>
          <w:i/>
          <w:lang w:val="en-US" w:eastAsia="ko-KR"/>
        </w:rPr>
      </w:pPr>
      <w:r>
        <w:rPr>
          <w:rFonts w:eastAsiaTheme="minorEastAsia"/>
          <w:b/>
          <w:i/>
          <w:lang w:val="en-US" w:eastAsia="ko-KR"/>
        </w:rPr>
        <w:t>Observation 3</w:t>
      </w:r>
      <w:r w:rsidR="0038322D">
        <w:rPr>
          <w:rFonts w:eastAsiaTheme="minorEastAsia"/>
          <w:b/>
          <w:i/>
          <w:lang w:val="en-US" w:eastAsia="ko-KR"/>
        </w:rPr>
        <w:t xml:space="preserve">: </w:t>
      </w:r>
      <w:r w:rsidR="0038322D" w:rsidRPr="0038322D">
        <w:rPr>
          <w:rFonts w:eastAsiaTheme="minorEastAsia" w:hint="eastAsia"/>
          <w:b/>
          <w:i/>
          <w:lang w:val="en-US" w:eastAsia="ko-KR"/>
        </w:rPr>
        <w:t>I</w:t>
      </w:r>
      <w:r w:rsidR="0038322D" w:rsidRPr="0038322D">
        <w:rPr>
          <w:rFonts w:eastAsiaTheme="minorEastAsia"/>
          <w:b/>
          <w:i/>
          <w:lang w:val="en-US" w:eastAsia="ko-KR"/>
        </w:rPr>
        <w:t xml:space="preserve">n order to </w:t>
      </w:r>
      <w:r w:rsidRPr="00E94849">
        <w:rPr>
          <w:rFonts w:eastAsiaTheme="minorEastAsia"/>
          <w:b/>
          <w:i/>
          <w:lang w:val="en-US" w:eastAsia="ko-KR"/>
        </w:rPr>
        <w:t xml:space="preserve">proceed with potential enhancements to LTE DC power control mode 2 for </w:t>
      </w:r>
      <w:r>
        <w:rPr>
          <w:rFonts w:eastAsiaTheme="minorEastAsia"/>
          <w:b/>
          <w:i/>
          <w:lang w:val="en-US" w:eastAsia="ko-KR"/>
        </w:rPr>
        <w:t>a</w:t>
      </w:r>
      <w:r w:rsidR="0038322D" w:rsidRPr="0038322D">
        <w:rPr>
          <w:rFonts w:eastAsiaTheme="minorEastAsia"/>
          <w:b/>
          <w:i/>
          <w:lang w:val="en-US" w:eastAsia="ko-KR"/>
        </w:rPr>
        <w:t xml:space="preserve"> power sharing mechanism between LTE and NR, </w:t>
      </w:r>
      <w:r w:rsidRPr="00E94849">
        <w:rPr>
          <w:rFonts w:eastAsiaTheme="minorEastAsia"/>
          <w:b/>
          <w:i/>
          <w:lang w:val="en-US" w:eastAsia="ko-KR"/>
        </w:rPr>
        <w:t xml:space="preserve">it is beneficial to first identify </w:t>
      </w:r>
      <w:r w:rsidR="0038322D" w:rsidRPr="0038322D">
        <w:rPr>
          <w:rFonts w:eastAsiaTheme="minorEastAsia"/>
          <w:b/>
          <w:i/>
          <w:lang w:val="en-US" w:eastAsia="ko-KR"/>
        </w:rPr>
        <w:t>NR UL power control procedure</w:t>
      </w:r>
      <w:r>
        <w:rPr>
          <w:rFonts w:eastAsiaTheme="minorEastAsia"/>
          <w:b/>
          <w:i/>
          <w:lang w:val="en-US" w:eastAsia="ko-KR"/>
        </w:rPr>
        <w:t>s</w:t>
      </w:r>
      <w:r w:rsidR="0038322D" w:rsidRPr="0038322D">
        <w:rPr>
          <w:rFonts w:eastAsiaTheme="minorEastAsia"/>
          <w:b/>
          <w:i/>
          <w:lang w:val="en-US" w:eastAsia="ko-KR"/>
        </w:rPr>
        <w:t>.</w:t>
      </w:r>
    </w:p>
    <w:p w14:paraId="59DC1B2B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14:paraId="6C0B2480" w14:textId="1D7D7A41" w:rsidR="00BF03CF" w:rsidRPr="005D0E25" w:rsidRDefault="00BF03CF" w:rsidP="00CC3727">
      <w:pPr>
        <w:spacing w:line="288" w:lineRule="auto"/>
        <w:jc w:val="both"/>
        <w:rPr>
          <w:rFonts w:eastAsiaTheme="minorEastAsia"/>
          <w:lang w:val="en-US" w:eastAsia="ko-KR"/>
        </w:rPr>
      </w:pPr>
      <w:r w:rsidRPr="005D0E25">
        <w:rPr>
          <w:rFonts w:eastAsiaTheme="minorEastAsia"/>
          <w:lang w:val="en-US" w:eastAsia="ko-KR"/>
        </w:rPr>
        <w:t xml:space="preserve">This contribution has </w:t>
      </w:r>
      <w:r w:rsidR="00DB1397">
        <w:rPr>
          <w:rFonts w:eastAsiaTheme="minorEastAsia"/>
          <w:lang w:val="en-US" w:eastAsia="ko-KR"/>
        </w:rPr>
        <w:t xml:space="preserve">discussed </w:t>
      </w:r>
      <w:r w:rsidR="00DB1397">
        <w:t>UL transmission power sharing between LTE and NR</w:t>
      </w:r>
      <w:r w:rsidR="008D5D0B">
        <w:t xml:space="preserve"> and it is observed that</w:t>
      </w:r>
      <w:r w:rsidR="00DB1397">
        <w:rPr>
          <w:rFonts w:eastAsiaTheme="minorEastAsia"/>
          <w:lang w:val="en-US" w:eastAsia="ko-KR"/>
        </w:rPr>
        <w:t>:</w:t>
      </w:r>
    </w:p>
    <w:p w14:paraId="02842137" w14:textId="0FD5970C" w:rsidR="006A1B37" w:rsidRPr="000C3B92" w:rsidRDefault="008D5D0B" w:rsidP="006A1B37">
      <w:pPr>
        <w:spacing w:line="288" w:lineRule="auto"/>
        <w:jc w:val="both"/>
        <w:rPr>
          <w:rFonts w:eastAsiaTheme="minorEastAsia"/>
          <w:b/>
          <w:i/>
          <w:lang w:val="en-US" w:eastAsia="ko-KR"/>
        </w:rPr>
      </w:pPr>
      <w:r w:rsidRPr="000C3B92">
        <w:rPr>
          <w:rFonts w:eastAsiaTheme="minorEastAsia"/>
          <w:b/>
          <w:i/>
          <w:lang w:val="en-US" w:eastAsia="ko-KR"/>
        </w:rPr>
        <w:t>Observation</w:t>
      </w:r>
      <w:r>
        <w:rPr>
          <w:rFonts w:eastAsiaTheme="minorEastAsia"/>
          <w:b/>
          <w:i/>
          <w:lang w:val="en-US" w:eastAsia="ko-KR"/>
        </w:rPr>
        <w:t xml:space="preserve"> 1</w:t>
      </w:r>
      <w:r w:rsidRPr="000C3B92">
        <w:rPr>
          <w:rFonts w:eastAsiaTheme="minorEastAsia"/>
          <w:b/>
          <w:i/>
          <w:lang w:val="en-US" w:eastAsia="ko-KR"/>
        </w:rPr>
        <w:t xml:space="preserve">: Some LTE-NR DC scenarios (e.g., NR carrier with 15 kHz subcarrier spacing and carrier frequency of below 6 GHz) </w:t>
      </w:r>
      <w:r>
        <w:rPr>
          <w:rFonts w:eastAsiaTheme="minorEastAsia"/>
          <w:b/>
          <w:i/>
          <w:lang w:val="en-US" w:eastAsia="ko-KR"/>
        </w:rPr>
        <w:t>are</w:t>
      </w:r>
      <w:r w:rsidRPr="000C3B92">
        <w:rPr>
          <w:rFonts w:eastAsiaTheme="minorEastAsia"/>
          <w:b/>
          <w:i/>
          <w:lang w:val="en-US" w:eastAsia="ko-KR"/>
        </w:rPr>
        <w:t xml:space="preserve"> similar with LTE DC</w:t>
      </w:r>
      <w:r>
        <w:rPr>
          <w:rFonts w:eastAsiaTheme="minorEastAsia"/>
          <w:b/>
          <w:i/>
          <w:lang w:val="en-US" w:eastAsia="ko-KR"/>
        </w:rPr>
        <w:t xml:space="preserve"> and</w:t>
      </w:r>
      <w:r w:rsidRPr="000C3B92">
        <w:rPr>
          <w:rFonts w:eastAsiaTheme="minorEastAsia"/>
          <w:b/>
          <w:i/>
          <w:lang w:val="en-US" w:eastAsia="ko-KR"/>
        </w:rPr>
        <w:t xml:space="preserve"> </w:t>
      </w:r>
      <w:r>
        <w:rPr>
          <w:rFonts w:eastAsiaTheme="minorEastAsia"/>
          <w:b/>
          <w:i/>
          <w:lang w:val="en-US" w:eastAsia="ko-KR"/>
        </w:rPr>
        <w:t xml:space="preserve">there is </w:t>
      </w:r>
      <w:r w:rsidRPr="000C3B92">
        <w:rPr>
          <w:rFonts w:eastAsiaTheme="minorEastAsia"/>
          <w:b/>
          <w:i/>
          <w:lang w:val="en-US" w:eastAsia="ko-KR"/>
        </w:rPr>
        <w:t xml:space="preserve">no feasibility issue for power sharing </w:t>
      </w:r>
      <w:r>
        <w:rPr>
          <w:rFonts w:eastAsiaTheme="minorEastAsia"/>
          <w:b/>
          <w:i/>
          <w:lang w:val="en-US" w:eastAsia="ko-KR"/>
        </w:rPr>
        <w:t xml:space="preserve">based on LTE DC principle </w:t>
      </w:r>
      <w:r w:rsidRPr="000C3B92">
        <w:rPr>
          <w:rFonts w:eastAsiaTheme="minorEastAsia"/>
          <w:b/>
          <w:i/>
          <w:lang w:val="en-US" w:eastAsia="ko-KR"/>
        </w:rPr>
        <w:t>for different RATs.</w:t>
      </w:r>
    </w:p>
    <w:p w14:paraId="21FADEE0" w14:textId="412B8CAE" w:rsidR="006A1B37" w:rsidRPr="000C3B92" w:rsidRDefault="008D5D0B" w:rsidP="006A1B37">
      <w:pPr>
        <w:spacing w:line="288" w:lineRule="auto"/>
        <w:jc w:val="both"/>
        <w:rPr>
          <w:rFonts w:eastAsiaTheme="minorEastAsia"/>
          <w:b/>
          <w:i/>
          <w:lang w:val="en-US" w:eastAsia="ko-KR"/>
        </w:rPr>
      </w:pPr>
      <w:r w:rsidRPr="000C3B92">
        <w:rPr>
          <w:rFonts w:eastAsiaTheme="minorEastAsia" w:hint="eastAsia"/>
          <w:b/>
          <w:i/>
          <w:lang w:val="en-US" w:eastAsia="ko-KR"/>
        </w:rPr>
        <w:t>O</w:t>
      </w:r>
      <w:r w:rsidRPr="000C3B92">
        <w:rPr>
          <w:rFonts w:eastAsiaTheme="minorEastAsia"/>
          <w:b/>
          <w:i/>
          <w:lang w:val="en-US" w:eastAsia="ko-KR"/>
        </w:rPr>
        <w:t>bservation</w:t>
      </w:r>
      <w:r>
        <w:rPr>
          <w:rFonts w:eastAsiaTheme="minorEastAsia"/>
          <w:b/>
          <w:i/>
          <w:lang w:val="en-US" w:eastAsia="ko-KR"/>
        </w:rPr>
        <w:t xml:space="preserve"> 2</w:t>
      </w:r>
      <w:r w:rsidRPr="000C3B92">
        <w:rPr>
          <w:rFonts w:eastAsiaTheme="minorEastAsia"/>
          <w:b/>
          <w:i/>
          <w:lang w:val="en-US" w:eastAsia="ko-KR"/>
        </w:rPr>
        <w:t xml:space="preserve">: </w:t>
      </w:r>
      <w:r>
        <w:rPr>
          <w:rFonts w:eastAsiaTheme="minorEastAsia"/>
          <w:b/>
          <w:i/>
          <w:lang w:val="en-US" w:eastAsia="ko-KR"/>
        </w:rPr>
        <w:t>LTE-NR power sharing is feasible in all scenarios at least based on DC power control mode 2 or based on separate power amplifiers between LTE carriers and NR carriers.</w:t>
      </w:r>
    </w:p>
    <w:p w14:paraId="3044EB14" w14:textId="19C5F65A" w:rsidR="0038322D" w:rsidRPr="0038322D" w:rsidRDefault="008D5D0B" w:rsidP="0038322D">
      <w:pPr>
        <w:spacing w:line="288" w:lineRule="auto"/>
        <w:jc w:val="both"/>
        <w:rPr>
          <w:rFonts w:eastAsiaTheme="minorEastAsia"/>
          <w:b/>
          <w:i/>
          <w:lang w:val="en-US" w:eastAsia="ko-KR"/>
        </w:rPr>
      </w:pPr>
      <w:r>
        <w:rPr>
          <w:rFonts w:eastAsiaTheme="minorEastAsia"/>
          <w:b/>
          <w:i/>
          <w:lang w:val="en-US" w:eastAsia="ko-KR"/>
        </w:rPr>
        <w:t xml:space="preserve">Observation 3: </w:t>
      </w:r>
      <w:r w:rsidRPr="0038322D">
        <w:rPr>
          <w:rFonts w:eastAsiaTheme="minorEastAsia" w:hint="eastAsia"/>
          <w:b/>
          <w:i/>
          <w:lang w:val="en-US" w:eastAsia="ko-KR"/>
        </w:rPr>
        <w:t>I</w:t>
      </w:r>
      <w:r w:rsidRPr="0038322D">
        <w:rPr>
          <w:rFonts w:eastAsiaTheme="minorEastAsia"/>
          <w:b/>
          <w:i/>
          <w:lang w:val="en-US" w:eastAsia="ko-KR"/>
        </w:rPr>
        <w:t xml:space="preserve">n order to </w:t>
      </w:r>
      <w:r w:rsidRPr="00C26C3A">
        <w:rPr>
          <w:rFonts w:eastAsiaTheme="minorEastAsia"/>
          <w:b/>
          <w:i/>
          <w:lang w:val="en-US" w:eastAsia="ko-KR"/>
        </w:rPr>
        <w:t xml:space="preserve">proceed with potential enhancements to LTE DC power control mode 2 for </w:t>
      </w:r>
      <w:r>
        <w:rPr>
          <w:rFonts w:eastAsiaTheme="minorEastAsia"/>
          <w:b/>
          <w:i/>
          <w:lang w:val="en-US" w:eastAsia="ko-KR"/>
        </w:rPr>
        <w:t>a</w:t>
      </w:r>
      <w:r w:rsidRPr="0038322D">
        <w:rPr>
          <w:rFonts w:eastAsiaTheme="minorEastAsia"/>
          <w:b/>
          <w:i/>
          <w:lang w:val="en-US" w:eastAsia="ko-KR"/>
        </w:rPr>
        <w:t xml:space="preserve"> power sharing mechanism between LTE and NR, </w:t>
      </w:r>
      <w:r w:rsidRPr="00C26C3A">
        <w:rPr>
          <w:rFonts w:eastAsiaTheme="minorEastAsia"/>
          <w:b/>
          <w:i/>
          <w:lang w:val="en-US" w:eastAsia="ko-KR"/>
        </w:rPr>
        <w:t xml:space="preserve">it is beneficial to first identify </w:t>
      </w:r>
      <w:r w:rsidRPr="0038322D">
        <w:rPr>
          <w:rFonts w:eastAsiaTheme="minorEastAsia"/>
          <w:b/>
          <w:i/>
          <w:lang w:val="en-US" w:eastAsia="ko-KR"/>
        </w:rPr>
        <w:t>NR UL power control procedure</w:t>
      </w:r>
      <w:r>
        <w:rPr>
          <w:rFonts w:eastAsiaTheme="minorEastAsia"/>
          <w:b/>
          <w:i/>
          <w:lang w:val="en-US" w:eastAsia="ko-KR"/>
        </w:rPr>
        <w:t>s</w:t>
      </w:r>
      <w:r w:rsidRPr="0038322D">
        <w:rPr>
          <w:rFonts w:eastAsiaTheme="minorEastAsia"/>
          <w:b/>
          <w:i/>
          <w:lang w:val="en-US" w:eastAsia="ko-KR"/>
        </w:rPr>
        <w:t>.</w:t>
      </w:r>
    </w:p>
    <w:p w14:paraId="5EFB357B" w14:textId="77777777" w:rsidR="00C51967" w:rsidRPr="00C51967" w:rsidRDefault="00C51967" w:rsidP="00C51967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References</w:t>
      </w:r>
    </w:p>
    <w:p w14:paraId="663F9A01" w14:textId="77777777" w:rsidR="00F8599E" w:rsidRDefault="00590407" w:rsidP="0043303F">
      <w:pPr>
        <w:spacing w:line="288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[1]</w:t>
      </w:r>
      <w:r w:rsidR="00C715E7">
        <w:rPr>
          <w:rFonts w:eastAsiaTheme="minorEastAsia"/>
          <w:lang w:val="en-US" w:eastAsia="ko-KR"/>
        </w:rPr>
        <w:t xml:space="preserve"> </w:t>
      </w:r>
      <w:r w:rsidR="00C715E7" w:rsidRPr="00C715E7">
        <w:rPr>
          <w:rFonts w:eastAsiaTheme="minorEastAsia"/>
          <w:lang w:val="en-US" w:eastAsia="ko-KR"/>
        </w:rPr>
        <w:t>R1-1704181 (R4-1702099), Response LS on UE capability aspects for LTE/NR tight interworking</w:t>
      </w:r>
      <w:r w:rsidR="00C715E7">
        <w:rPr>
          <w:rFonts w:eastAsiaTheme="minorEastAsia"/>
          <w:lang w:val="en-US" w:eastAsia="ko-KR"/>
        </w:rPr>
        <w:t>, RAN4</w:t>
      </w:r>
      <w:r w:rsidR="00C715E7" w:rsidRPr="00C715E7">
        <w:rPr>
          <w:rFonts w:eastAsiaTheme="minorEastAsia"/>
          <w:lang w:val="en-US" w:eastAsia="ko-KR"/>
        </w:rPr>
        <w:t xml:space="preserve"> </w:t>
      </w:r>
    </w:p>
    <w:sectPr w:rsidR="00F8599E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C4D5B" w14:textId="77777777" w:rsidR="00D45588" w:rsidRDefault="00D45588">
      <w:r>
        <w:separator/>
      </w:r>
    </w:p>
  </w:endnote>
  <w:endnote w:type="continuationSeparator" w:id="0">
    <w:p w14:paraId="78E33F4E" w14:textId="77777777" w:rsidR="00D45588" w:rsidRDefault="00D4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419B5" w14:textId="77777777" w:rsidR="00D45588" w:rsidRDefault="00D45588">
      <w:r>
        <w:separator/>
      </w:r>
    </w:p>
  </w:footnote>
  <w:footnote w:type="continuationSeparator" w:id="0">
    <w:p w14:paraId="172CF272" w14:textId="77777777" w:rsidR="00D45588" w:rsidRDefault="00D45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7B3E2" w14:textId="77777777" w:rsidR="000D0010" w:rsidRDefault="000D001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633250"/>
    <w:multiLevelType w:val="hybridMultilevel"/>
    <w:tmpl w:val="EA9C22B6"/>
    <w:lvl w:ilvl="0" w:tplc="A33470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6A27B04"/>
    <w:multiLevelType w:val="hybridMultilevel"/>
    <w:tmpl w:val="0FFEDF7A"/>
    <w:lvl w:ilvl="0" w:tplc="A7C6FABE">
      <w:start w:val="3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7267DFE"/>
    <w:multiLevelType w:val="hybridMultilevel"/>
    <w:tmpl w:val="19589E16"/>
    <w:lvl w:ilvl="0" w:tplc="FBBE4AF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36A0EC0"/>
    <w:multiLevelType w:val="hybridMultilevel"/>
    <w:tmpl w:val="D4E6F5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9F1350C"/>
    <w:multiLevelType w:val="hybridMultilevel"/>
    <w:tmpl w:val="57FE423E"/>
    <w:lvl w:ilvl="0" w:tplc="E702C356">
      <w:start w:val="2017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D8F0585"/>
    <w:multiLevelType w:val="hybridMultilevel"/>
    <w:tmpl w:val="9022FD38"/>
    <w:lvl w:ilvl="0" w:tplc="CA92E144">
      <w:start w:val="3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284263"/>
    <w:multiLevelType w:val="hybridMultilevel"/>
    <w:tmpl w:val="647207CC"/>
    <w:lvl w:ilvl="0" w:tplc="A1D844F8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4"/>
  </w:num>
  <w:num w:numId="5">
    <w:abstractNumId w:val="11"/>
  </w:num>
  <w:num w:numId="6">
    <w:abstractNumId w:val="8"/>
  </w:num>
  <w:num w:numId="7">
    <w:abstractNumId w:val="12"/>
  </w:num>
  <w:num w:numId="8">
    <w:abstractNumId w:val="9"/>
  </w:num>
  <w:num w:numId="9">
    <w:abstractNumId w:val="6"/>
  </w:num>
  <w:num w:numId="10">
    <w:abstractNumId w:val="0"/>
  </w:num>
  <w:num w:numId="11">
    <w:abstractNumId w:val="5"/>
  </w:num>
  <w:num w:numId="12">
    <w:abstractNumId w:val="1"/>
  </w:num>
  <w:num w:numId="13">
    <w:abstractNumId w:val="2"/>
  </w:num>
  <w:num w:numId="14">
    <w:abstractNumId w:val="13"/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5C4"/>
    <w:rsid w:val="00001421"/>
    <w:rsid w:val="00001C76"/>
    <w:rsid w:val="000020C0"/>
    <w:rsid w:val="00002A92"/>
    <w:rsid w:val="000033A8"/>
    <w:rsid w:val="00004076"/>
    <w:rsid w:val="00005774"/>
    <w:rsid w:val="00005951"/>
    <w:rsid w:val="00005F99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5609"/>
    <w:rsid w:val="00025DDA"/>
    <w:rsid w:val="00027A22"/>
    <w:rsid w:val="00030341"/>
    <w:rsid w:val="00030B6F"/>
    <w:rsid w:val="00030EA8"/>
    <w:rsid w:val="00031BA0"/>
    <w:rsid w:val="0003271D"/>
    <w:rsid w:val="00032854"/>
    <w:rsid w:val="000359C4"/>
    <w:rsid w:val="000375ED"/>
    <w:rsid w:val="00040D18"/>
    <w:rsid w:val="0004152C"/>
    <w:rsid w:val="00043F06"/>
    <w:rsid w:val="00045082"/>
    <w:rsid w:val="00045210"/>
    <w:rsid w:val="00046AB8"/>
    <w:rsid w:val="00046EDE"/>
    <w:rsid w:val="0005019A"/>
    <w:rsid w:val="00050412"/>
    <w:rsid w:val="00051AFF"/>
    <w:rsid w:val="00052776"/>
    <w:rsid w:val="00052FB5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853"/>
    <w:rsid w:val="00057CB5"/>
    <w:rsid w:val="00060151"/>
    <w:rsid w:val="00060189"/>
    <w:rsid w:val="000620CD"/>
    <w:rsid w:val="000621DB"/>
    <w:rsid w:val="0006267E"/>
    <w:rsid w:val="00062716"/>
    <w:rsid w:val="000627C6"/>
    <w:rsid w:val="00063AB0"/>
    <w:rsid w:val="00063AC6"/>
    <w:rsid w:val="00065630"/>
    <w:rsid w:val="00065C00"/>
    <w:rsid w:val="000673BF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34B6"/>
    <w:rsid w:val="000948FB"/>
    <w:rsid w:val="00094B22"/>
    <w:rsid w:val="0009739B"/>
    <w:rsid w:val="000A08C0"/>
    <w:rsid w:val="000A0FAC"/>
    <w:rsid w:val="000A1D31"/>
    <w:rsid w:val="000A26F4"/>
    <w:rsid w:val="000A2D74"/>
    <w:rsid w:val="000A4785"/>
    <w:rsid w:val="000A4899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4FD7"/>
    <w:rsid w:val="000B56DE"/>
    <w:rsid w:val="000C074E"/>
    <w:rsid w:val="000C0B9D"/>
    <w:rsid w:val="000C0F99"/>
    <w:rsid w:val="000C14C1"/>
    <w:rsid w:val="000C2DAC"/>
    <w:rsid w:val="000C3A4B"/>
    <w:rsid w:val="000C3B92"/>
    <w:rsid w:val="000C56CE"/>
    <w:rsid w:val="000C650F"/>
    <w:rsid w:val="000C6B7A"/>
    <w:rsid w:val="000C7D54"/>
    <w:rsid w:val="000D0010"/>
    <w:rsid w:val="000D00DD"/>
    <w:rsid w:val="000D1026"/>
    <w:rsid w:val="000D19F4"/>
    <w:rsid w:val="000D1CB9"/>
    <w:rsid w:val="000D1F29"/>
    <w:rsid w:val="000D25AC"/>
    <w:rsid w:val="000D375B"/>
    <w:rsid w:val="000D435D"/>
    <w:rsid w:val="000D4680"/>
    <w:rsid w:val="000D4806"/>
    <w:rsid w:val="000D4B54"/>
    <w:rsid w:val="000D5200"/>
    <w:rsid w:val="000D5E7A"/>
    <w:rsid w:val="000D758A"/>
    <w:rsid w:val="000D77B5"/>
    <w:rsid w:val="000E1471"/>
    <w:rsid w:val="000E1AF3"/>
    <w:rsid w:val="000E2201"/>
    <w:rsid w:val="000E34D6"/>
    <w:rsid w:val="000E4098"/>
    <w:rsid w:val="000E48A4"/>
    <w:rsid w:val="000E512F"/>
    <w:rsid w:val="000E6539"/>
    <w:rsid w:val="000E7166"/>
    <w:rsid w:val="000E7E9E"/>
    <w:rsid w:val="000F021D"/>
    <w:rsid w:val="000F0774"/>
    <w:rsid w:val="000F0C12"/>
    <w:rsid w:val="000F0D83"/>
    <w:rsid w:val="000F28A5"/>
    <w:rsid w:val="000F2916"/>
    <w:rsid w:val="000F3287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CCE"/>
    <w:rsid w:val="00100D26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4203"/>
    <w:rsid w:val="00114A88"/>
    <w:rsid w:val="00114EB4"/>
    <w:rsid w:val="00114EDB"/>
    <w:rsid w:val="00114F39"/>
    <w:rsid w:val="001155B8"/>
    <w:rsid w:val="00115AB2"/>
    <w:rsid w:val="0011739B"/>
    <w:rsid w:val="00117972"/>
    <w:rsid w:val="00117B15"/>
    <w:rsid w:val="00120B93"/>
    <w:rsid w:val="00121508"/>
    <w:rsid w:val="0012156A"/>
    <w:rsid w:val="001219C2"/>
    <w:rsid w:val="00121AC2"/>
    <w:rsid w:val="0012303A"/>
    <w:rsid w:val="00123B51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272C"/>
    <w:rsid w:val="0014343A"/>
    <w:rsid w:val="001437A2"/>
    <w:rsid w:val="00143869"/>
    <w:rsid w:val="00145793"/>
    <w:rsid w:val="00146DE6"/>
    <w:rsid w:val="001471E4"/>
    <w:rsid w:val="00147305"/>
    <w:rsid w:val="001503B7"/>
    <w:rsid w:val="001535A8"/>
    <w:rsid w:val="0015445A"/>
    <w:rsid w:val="0015468D"/>
    <w:rsid w:val="0015547A"/>
    <w:rsid w:val="00155943"/>
    <w:rsid w:val="0015708C"/>
    <w:rsid w:val="001571A3"/>
    <w:rsid w:val="00157C42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663"/>
    <w:rsid w:val="00173F11"/>
    <w:rsid w:val="001756F1"/>
    <w:rsid w:val="00175B19"/>
    <w:rsid w:val="00176B67"/>
    <w:rsid w:val="00177303"/>
    <w:rsid w:val="00180AD4"/>
    <w:rsid w:val="00180CFB"/>
    <w:rsid w:val="001811D3"/>
    <w:rsid w:val="00181899"/>
    <w:rsid w:val="00182E06"/>
    <w:rsid w:val="00182F58"/>
    <w:rsid w:val="00184140"/>
    <w:rsid w:val="00184388"/>
    <w:rsid w:val="00184848"/>
    <w:rsid w:val="001850D6"/>
    <w:rsid w:val="001866C3"/>
    <w:rsid w:val="00187DAE"/>
    <w:rsid w:val="00190B32"/>
    <w:rsid w:val="001911AC"/>
    <w:rsid w:val="0019161B"/>
    <w:rsid w:val="0019396C"/>
    <w:rsid w:val="0019499E"/>
    <w:rsid w:val="00196848"/>
    <w:rsid w:val="00196998"/>
    <w:rsid w:val="00196B28"/>
    <w:rsid w:val="0019735B"/>
    <w:rsid w:val="00197743"/>
    <w:rsid w:val="00197BA4"/>
    <w:rsid w:val="00197DD4"/>
    <w:rsid w:val="001A00D9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D24"/>
    <w:rsid w:val="001B1FAD"/>
    <w:rsid w:val="001B620C"/>
    <w:rsid w:val="001B73F7"/>
    <w:rsid w:val="001B7B32"/>
    <w:rsid w:val="001B7B86"/>
    <w:rsid w:val="001C011D"/>
    <w:rsid w:val="001C0292"/>
    <w:rsid w:val="001C06AA"/>
    <w:rsid w:val="001C186D"/>
    <w:rsid w:val="001C1E17"/>
    <w:rsid w:val="001C2D74"/>
    <w:rsid w:val="001C3462"/>
    <w:rsid w:val="001C3694"/>
    <w:rsid w:val="001C46E4"/>
    <w:rsid w:val="001C480A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2861"/>
    <w:rsid w:val="001D4091"/>
    <w:rsid w:val="001D518C"/>
    <w:rsid w:val="001D524E"/>
    <w:rsid w:val="001D52DF"/>
    <w:rsid w:val="001D61B8"/>
    <w:rsid w:val="001E01A3"/>
    <w:rsid w:val="001E083E"/>
    <w:rsid w:val="001E0954"/>
    <w:rsid w:val="001E2551"/>
    <w:rsid w:val="001E4494"/>
    <w:rsid w:val="001E5210"/>
    <w:rsid w:val="001E5FC9"/>
    <w:rsid w:val="001E62F2"/>
    <w:rsid w:val="001E6796"/>
    <w:rsid w:val="001E6E98"/>
    <w:rsid w:val="001E7B19"/>
    <w:rsid w:val="001F0A3C"/>
    <w:rsid w:val="001F1669"/>
    <w:rsid w:val="001F2638"/>
    <w:rsid w:val="001F28FD"/>
    <w:rsid w:val="001F3437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913"/>
    <w:rsid w:val="00205DF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1C5"/>
    <w:rsid w:val="002177FD"/>
    <w:rsid w:val="00217AA4"/>
    <w:rsid w:val="0022091C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1ACC"/>
    <w:rsid w:val="00242798"/>
    <w:rsid w:val="002428B8"/>
    <w:rsid w:val="00242921"/>
    <w:rsid w:val="00244EF2"/>
    <w:rsid w:val="00245C3D"/>
    <w:rsid w:val="00246872"/>
    <w:rsid w:val="002469F1"/>
    <w:rsid w:val="0024758D"/>
    <w:rsid w:val="00250370"/>
    <w:rsid w:val="002509E2"/>
    <w:rsid w:val="002514DC"/>
    <w:rsid w:val="00251DAC"/>
    <w:rsid w:val="0025287D"/>
    <w:rsid w:val="00252B96"/>
    <w:rsid w:val="002534FA"/>
    <w:rsid w:val="00254D8C"/>
    <w:rsid w:val="002558D5"/>
    <w:rsid w:val="002562C5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24DF"/>
    <w:rsid w:val="00262587"/>
    <w:rsid w:val="002638DC"/>
    <w:rsid w:val="00264DBB"/>
    <w:rsid w:val="00266890"/>
    <w:rsid w:val="00266901"/>
    <w:rsid w:val="00266985"/>
    <w:rsid w:val="00266A3B"/>
    <w:rsid w:val="002679C3"/>
    <w:rsid w:val="00270425"/>
    <w:rsid w:val="0027050B"/>
    <w:rsid w:val="00270568"/>
    <w:rsid w:val="002714B9"/>
    <w:rsid w:val="00271664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F82"/>
    <w:rsid w:val="00280698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C60"/>
    <w:rsid w:val="002876DD"/>
    <w:rsid w:val="00287951"/>
    <w:rsid w:val="00287C21"/>
    <w:rsid w:val="00287F14"/>
    <w:rsid w:val="002904E3"/>
    <w:rsid w:val="00290739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E47"/>
    <w:rsid w:val="002A3A3D"/>
    <w:rsid w:val="002A41D2"/>
    <w:rsid w:val="002A626F"/>
    <w:rsid w:val="002A7253"/>
    <w:rsid w:val="002A74D6"/>
    <w:rsid w:val="002A74FA"/>
    <w:rsid w:val="002A7F71"/>
    <w:rsid w:val="002B099E"/>
    <w:rsid w:val="002B499B"/>
    <w:rsid w:val="002B515A"/>
    <w:rsid w:val="002B52C6"/>
    <w:rsid w:val="002B57DB"/>
    <w:rsid w:val="002B6A59"/>
    <w:rsid w:val="002B6BDA"/>
    <w:rsid w:val="002B71B0"/>
    <w:rsid w:val="002C0D28"/>
    <w:rsid w:val="002C1230"/>
    <w:rsid w:val="002C1721"/>
    <w:rsid w:val="002C300C"/>
    <w:rsid w:val="002C46A5"/>
    <w:rsid w:val="002C64CC"/>
    <w:rsid w:val="002C6806"/>
    <w:rsid w:val="002C7AAD"/>
    <w:rsid w:val="002D185B"/>
    <w:rsid w:val="002D233C"/>
    <w:rsid w:val="002D2C23"/>
    <w:rsid w:val="002D2EF7"/>
    <w:rsid w:val="002D4572"/>
    <w:rsid w:val="002D488B"/>
    <w:rsid w:val="002D53AF"/>
    <w:rsid w:val="002D5B2B"/>
    <w:rsid w:val="002D6D95"/>
    <w:rsid w:val="002D6FEE"/>
    <w:rsid w:val="002E11B9"/>
    <w:rsid w:val="002E16C5"/>
    <w:rsid w:val="002E1950"/>
    <w:rsid w:val="002E2C90"/>
    <w:rsid w:val="002E2CB4"/>
    <w:rsid w:val="002E315D"/>
    <w:rsid w:val="002E333E"/>
    <w:rsid w:val="002E3495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5943"/>
    <w:rsid w:val="002F6295"/>
    <w:rsid w:val="002F6FEC"/>
    <w:rsid w:val="002F7114"/>
    <w:rsid w:val="0030008B"/>
    <w:rsid w:val="003006CA"/>
    <w:rsid w:val="003008BA"/>
    <w:rsid w:val="00300951"/>
    <w:rsid w:val="003025C5"/>
    <w:rsid w:val="00302934"/>
    <w:rsid w:val="00303177"/>
    <w:rsid w:val="0030336D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414"/>
    <w:rsid w:val="0032098B"/>
    <w:rsid w:val="003214AE"/>
    <w:rsid w:val="003217E5"/>
    <w:rsid w:val="00323455"/>
    <w:rsid w:val="003237AF"/>
    <w:rsid w:val="00324DCD"/>
    <w:rsid w:val="00324E9C"/>
    <w:rsid w:val="003250F2"/>
    <w:rsid w:val="003254A4"/>
    <w:rsid w:val="00326441"/>
    <w:rsid w:val="003264AA"/>
    <w:rsid w:val="00326E08"/>
    <w:rsid w:val="0032775A"/>
    <w:rsid w:val="0033129D"/>
    <w:rsid w:val="003324E2"/>
    <w:rsid w:val="00332B9B"/>
    <w:rsid w:val="003337C9"/>
    <w:rsid w:val="00333B9E"/>
    <w:rsid w:val="00333EDD"/>
    <w:rsid w:val="0033544D"/>
    <w:rsid w:val="00336575"/>
    <w:rsid w:val="00337211"/>
    <w:rsid w:val="00337623"/>
    <w:rsid w:val="003406B4"/>
    <w:rsid w:val="0034227B"/>
    <w:rsid w:val="003429F3"/>
    <w:rsid w:val="0034392C"/>
    <w:rsid w:val="0034437D"/>
    <w:rsid w:val="0034484F"/>
    <w:rsid w:val="00345DEA"/>
    <w:rsid w:val="0034733A"/>
    <w:rsid w:val="003476A1"/>
    <w:rsid w:val="003514CD"/>
    <w:rsid w:val="00353783"/>
    <w:rsid w:val="00354667"/>
    <w:rsid w:val="00354C75"/>
    <w:rsid w:val="003552C8"/>
    <w:rsid w:val="00355B93"/>
    <w:rsid w:val="003575BA"/>
    <w:rsid w:val="00360211"/>
    <w:rsid w:val="00361538"/>
    <w:rsid w:val="00361D72"/>
    <w:rsid w:val="00361F43"/>
    <w:rsid w:val="00362543"/>
    <w:rsid w:val="00362D53"/>
    <w:rsid w:val="00362DB7"/>
    <w:rsid w:val="00363312"/>
    <w:rsid w:val="003636D3"/>
    <w:rsid w:val="00363E55"/>
    <w:rsid w:val="00363F8E"/>
    <w:rsid w:val="00364359"/>
    <w:rsid w:val="00364A48"/>
    <w:rsid w:val="00364A9A"/>
    <w:rsid w:val="003656E3"/>
    <w:rsid w:val="00366695"/>
    <w:rsid w:val="00367444"/>
    <w:rsid w:val="0036771C"/>
    <w:rsid w:val="00367C76"/>
    <w:rsid w:val="00367F5B"/>
    <w:rsid w:val="003705A3"/>
    <w:rsid w:val="0037239C"/>
    <w:rsid w:val="00373460"/>
    <w:rsid w:val="003738D9"/>
    <w:rsid w:val="00373942"/>
    <w:rsid w:val="00373992"/>
    <w:rsid w:val="003739C4"/>
    <w:rsid w:val="00373FE3"/>
    <w:rsid w:val="00374B46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22D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CB0"/>
    <w:rsid w:val="003958CA"/>
    <w:rsid w:val="0039593B"/>
    <w:rsid w:val="00395E02"/>
    <w:rsid w:val="00396217"/>
    <w:rsid w:val="003965FC"/>
    <w:rsid w:val="003975AC"/>
    <w:rsid w:val="00397FC6"/>
    <w:rsid w:val="003A087F"/>
    <w:rsid w:val="003A2745"/>
    <w:rsid w:val="003A4806"/>
    <w:rsid w:val="003A5945"/>
    <w:rsid w:val="003A68D3"/>
    <w:rsid w:val="003A71C1"/>
    <w:rsid w:val="003A730C"/>
    <w:rsid w:val="003A7E26"/>
    <w:rsid w:val="003B0031"/>
    <w:rsid w:val="003B0AC6"/>
    <w:rsid w:val="003B33FB"/>
    <w:rsid w:val="003B486C"/>
    <w:rsid w:val="003B4F37"/>
    <w:rsid w:val="003B55C8"/>
    <w:rsid w:val="003B6137"/>
    <w:rsid w:val="003B6FC0"/>
    <w:rsid w:val="003B784F"/>
    <w:rsid w:val="003C0353"/>
    <w:rsid w:val="003C13C6"/>
    <w:rsid w:val="003C1E94"/>
    <w:rsid w:val="003C27F4"/>
    <w:rsid w:val="003C2C5D"/>
    <w:rsid w:val="003C32F0"/>
    <w:rsid w:val="003C3D90"/>
    <w:rsid w:val="003C53D6"/>
    <w:rsid w:val="003C5A7F"/>
    <w:rsid w:val="003C5BAF"/>
    <w:rsid w:val="003C5ED0"/>
    <w:rsid w:val="003C73BB"/>
    <w:rsid w:val="003C748B"/>
    <w:rsid w:val="003D02B2"/>
    <w:rsid w:val="003D1649"/>
    <w:rsid w:val="003D3265"/>
    <w:rsid w:val="003D3E2E"/>
    <w:rsid w:val="003D44EF"/>
    <w:rsid w:val="003D79CD"/>
    <w:rsid w:val="003E06F9"/>
    <w:rsid w:val="003E079D"/>
    <w:rsid w:val="003E0A84"/>
    <w:rsid w:val="003E0FEE"/>
    <w:rsid w:val="003E1282"/>
    <w:rsid w:val="003E1753"/>
    <w:rsid w:val="003E2779"/>
    <w:rsid w:val="003E2BC0"/>
    <w:rsid w:val="003E625E"/>
    <w:rsid w:val="003E633B"/>
    <w:rsid w:val="003E6A7B"/>
    <w:rsid w:val="003E792E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31"/>
    <w:rsid w:val="003F7F2B"/>
    <w:rsid w:val="00401F93"/>
    <w:rsid w:val="0040296F"/>
    <w:rsid w:val="00402B73"/>
    <w:rsid w:val="0040329D"/>
    <w:rsid w:val="004038E2"/>
    <w:rsid w:val="0040391C"/>
    <w:rsid w:val="004042E9"/>
    <w:rsid w:val="00404B4A"/>
    <w:rsid w:val="004058C6"/>
    <w:rsid w:val="0040633D"/>
    <w:rsid w:val="00407604"/>
    <w:rsid w:val="00407CD6"/>
    <w:rsid w:val="004102F3"/>
    <w:rsid w:val="004107E6"/>
    <w:rsid w:val="004114F7"/>
    <w:rsid w:val="00411681"/>
    <w:rsid w:val="00413160"/>
    <w:rsid w:val="00413E61"/>
    <w:rsid w:val="004153EE"/>
    <w:rsid w:val="00415BE7"/>
    <w:rsid w:val="00420853"/>
    <w:rsid w:val="00420884"/>
    <w:rsid w:val="004211BE"/>
    <w:rsid w:val="00421653"/>
    <w:rsid w:val="00421E04"/>
    <w:rsid w:val="004239D8"/>
    <w:rsid w:val="004240D5"/>
    <w:rsid w:val="00424A72"/>
    <w:rsid w:val="00424D6E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3006"/>
    <w:rsid w:val="0043303F"/>
    <w:rsid w:val="00433489"/>
    <w:rsid w:val="004351C1"/>
    <w:rsid w:val="00435EE6"/>
    <w:rsid w:val="00436AEE"/>
    <w:rsid w:val="00437386"/>
    <w:rsid w:val="00440D1D"/>
    <w:rsid w:val="00440E60"/>
    <w:rsid w:val="00442902"/>
    <w:rsid w:val="00442C0D"/>
    <w:rsid w:val="004430A5"/>
    <w:rsid w:val="004431FA"/>
    <w:rsid w:val="00443DAF"/>
    <w:rsid w:val="00445622"/>
    <w:rsid w:val="0044702F"/>
    <w:rsid w:val="004471CE"/>
    <w:rsid w:val="00450544"/>
    <w:rsid w:val="00450C48"/>
    <w:rsid w:val="004526A6"/>
    <w:rsid w:val="00452E54"/>
    <w:rsid w:val="004530DE"/>
    <w:rsid w:val="004531A4"/>
    <w:rsid w:val="0045322C"/>
    <w:rsid w:val="0045336D"/>
    <w:rsid w:val="004538E0"/>
    <w:rsid w:val="00453A81"/>
    <w:rsid w:val="00454D22"/>
    <w:rsid w:val="00455E7A"/>
    <w:rsid w:val="00456447"/>
    <w:rsid w:val="00456E98"/>
    <w:rsid w:val="004608CC"/>
    <w:rsid w:val="00461C28"/>
    <w:rsid w:val="004624A3"/>
    <w:rsid w:val="00466532"/>
    <w:rsid w:val="0046666D"/>
    <w:rsid w:val="0046687D"/>
    <w:rsid w:val="00466F1C"/>
    <w:rsid w:val="00467A29"/>
    <w:rsid w:val="00470D36"/>
    <w:rsid w:val="0047128F"/>
    <w:rsid w:val="004725F3"/>
    <w:rsid w:val="00472D72"/>
    <w:rsid w:val="00473867"/>
    <w:rsid w:val="00473944"/>
    <w:rsid w:val="00474060"/>
    <w:rsid w:val="00474BDC"/>
    <w:rsid w:val="00474D44"/>
    <w:rsid w:val="00474F44"/>
    <w:rsid w:val="00475C77"/>
    <w:rsid w:val="0047692C"/>
    <w:rsid w:val="00477672"/>
    <w:rsid w:val="00477932"/>
    <w:rsid w:val="004800A8"/>
    <w:rsid w:val="0048015F"/>
    <w:rsid w:val="004804F5"/>
    <w:rsid w:val="00481D44"/>
    <w:rsid w:val="00481F84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637"/>
    <w:rsid w:val="00490744"/>
    <w:rsid w:val="00491688"/>
    <w:rsid w:val="0049325B"/>
    <w:rsid w:val="00493A37"/>
    <w:rsid w:val="0049581A"/>
    <w:rsid w:val="00496784"/>
    <w:rsid w:val="00497D37"/>
    <w:rsid w:val="004A0A28"/>
    <w:rsid w:val="004A21AE"/>
    <w:rsid w:val="004A2422"/>
    <w:rsid w:val="004A2F45"/>
    <w:rsid w:val="004A360E"/>
    <w:rsid w:val="004A43B9"/>
    <w:rsid w:val="004A4659"/>
    <w:rsid w:val="004A4968"/>
    <w:rsid w:val="004A5660"/>
    <w:rsid w:val="004A574A"/>
    <w:rsid w:val="004A5A2F"/>
    <w:rsid w:val="004A6A0D"/>
    <w:rsid w:val="004A73B7"/>
    <w:rsid w:val="004A75CF"/>
    <w:rsid w:val="004A76A5"/>
    <w:rsid w:val="004B02A2"/>
    <w:rsid w:val="004B0763"/>
    <w:rsid w:val="004B216D"/>
    <w:rsid w:val="004B2890"/>
    <w:rsid w:val="004B2A6A"/>
    <w:rsid w:val="004B37FF"/>
    <w:rsid w:val="004B38E1"/>
    <w:rsid w:val="004B3FBF"/>
    <w:rsid w:val="004B461B"/>
    <w:rsid w:val="004B4C96"/>
    <w:rsid w:val="004B787D"/>
    <w:rsid w:val="004C0799"/>
    <w:rsid w:val="004C1AC1"/>
    <w:rsid w:val="004C2115"/>
    <w:rsid w:val="004C25AA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54C6"/>
    <w:rsid w:val="004D58B3"/>
    <w:rsid w:val="004D5B92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B1"/>
    <w:rsid w:val="004E4832"/>
    <w:rsid w:val="004E5728"/>
    <w:rsid w:val="004E577A"/>
    <w:rsid w:val="004E6011"/>
    <w:rsid w:val="004E6A4C"/>
    <w:rsid w:val="004E6F5F"/>
    <w:rsid w:val="004E7FD8"/>
    <w:rsid w:val="004F040F"/>
    <w:rsid w:val="004F120F"/>
    <w:rsid w:val="004F17BB"/>
    <w:rsid w:val="004F3084"/>
    <w:rsid w:val="004F3DE2"/>
    <w:rsid w:val="004F4E83"/>
    <w:rsid w:val="004F5111"/>
    <w:rsid w:val="004F53C9"/>
    <w:rsid w:val="004F580D"/>
    <w:rsid w:val="004F6F75"/>
    <w:rsid w:val="004F7094"/>
    <w:rsid w:val="004F7C41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0EED"/>
    <w:rsid w:val="0051171D"/>
    <w:rsid w:val="00514799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519"/>
    <w:rsid w:val="00526A64"/>
    <w:rsid w:val="00526BC4"/>
    <w:rsid w:val="00526C5C"/>
    <w:rsid w:val="00526EB6"/>
    <w:rsid w:val="00526F30"/>
    <w:rsid w:val="00526FD1"/>
    <w:rsid w:val="00527339"/>
    <w:rsid w:val="00527FA8"/>
    <w:rsid w:val="0053211B"/>
    <w:rsid w:val="0053361F"/>
    <w:rsid w:val="00533D37"/>
    <w:rsid w:val="00533DE6"/>
    <w:rsid w:val="00533E42"/>
    <w:rsid w:val="005344B5"/>
    <w:rsid w:val="00534DF6"/>
    <w:rsid w:val="00535E8C"/>
    <w:rsid w:val="00536801"/>
    <w:rsid w:val="00537507"/>
    <w:rsid w:val="00537962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43F6E"/>
    <w:rsid w:val="00547D83"/>
    <w:rsid w:val="005501BF"/>
    <w:rsid w:val="00550FF8"/>
    <w:rsid w:val="0055125A"/>
    <w:rsid w:val="005515A9"/>
    <w:rsid w:val="0055161E"/>
    <w:rsid w:val="0055167A"/>
    <w:rsid w:val="00552449"/>
    <w:rsid w:val="00553AF5"/>
    <w:rsid w:val="00555F2F"/>
    <w:rsid w:val="00556926"/>
    <w:rsid w:val="00556CAB"/>
    <w:rsid w:val="00561E70"/>
    <w:rsid w:val="00562A7C"/>
    <w:rsid w:val="00565BEE"/>
    <w:rsid w:val="005678F0"/>
    <w:rsid w:val="00567B39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39D9"/>
    <w:rsid w:val="0058443F"/>
    <w:rsid w:val="0058463D"/>
    <w:rsid w:val="005849C2"/>
    <w:rsid w:val="00584F3B"/>
    <w:rsid w:val="00586684"/>
    <w:rsid w:val="00587E75"/>
    <w:rsid w:val="00590407"/>
    <w:rsid w:val="00590DDD"/>
    <w:rsid w:val="00590E08"/>
    <w:rsid w:val="0059155C"/>
    <w:rsid w:val="005916A7"/>
    <w:rsid w:val="00592741"/>
    <w:rsid w:val="00592D1E"/>
    <w:rsid w:val="0059368B"/>
    <w:rsid w:val="00594308"/>
    <w:rsid w:val="00594841"/>
    <w:rsid w:val="00594AAF"/>
    <w:rsid w:val="00595A9F"/>
    <w:rsid w:val="00595B38"/>
    <w:rsid w:val="00597143"/>
    <w:rsid w:val="00597F38"/>
    <w:rsid w:val="005A1CF9"/>
    <w:rsid w:val="005A1D16"/>
    <w:rsid w:val="005A1F16"/>
    <w:rsid w:val="005A243A"/>
    <w:rsid w:val="005A2BF4"/>
    <w:rsid w:val="005A490C"/>
    <w:rsid w:val="005A4C2A"/>
    <w:rsid w:val="005A71B5"/>
    <w:rsid w:val="005A73AC"/>
    <w:rsid w:val="005A7F30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6FFB"/>
    <w:rsid w:val="005C70AD"/>
    <w:rsid w:val="005C7D83"/>
    <w:rsid w:val="005D079E"/>
    <w:rsid w:val="005D0C6E"/>
    <w:rsid w:val="005D0E25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820"/>
    <w:rsid w:val="005D59C6"/>
    <w:rsid w:val="005D5C0A"/>
    <w:rsid w:val="005D5C66"/>
    <w:rsid w:val="005D7BC7"/>
    <w:rsid w:val="005E0296"/>
    <w:rsid w:val="005E2034"/>
    <w:rsid w:val="005E44CC"/>
    <w:rsid w:val="005E48CC"/>
    <w:rsid w:val="005E52D7"/>
    <w:rsid w:val="005E58B6"/>
    <w:rsid w:val="005E630D"/>
    <w:rsid w:val="005F0409"/>
    <w:rsid w:val="005F082D"/>
    <w:rsid w:val="005F1A7D"/>
    <w:rsid w:val="005F1FBE"/>
    <w:rsid w:val="005F30CF"/>
    <w:rsid w:val="005F3391"/>
    <w:rsid w:val="005F4E6B"/>
    <w:rsid w:val="005F508E"/>
    <w:rsid w:val="005F514C"/>
    <w:rsid w:val="005F5BAD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5580"/>
    <w:rsid w:val="00605798"/>
    <w:rsid w:val="00607327"/>
    <w:rsid w:val="006078B5"/>
    <w:rsid w:val="006107CB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901"/>
    <w:rsid w:val="00624DA9"/>
    <w:rsid w:val="006255CB"/>
    <w:rsid w:val="00626F3C"/>
    <w:rsid w:val="0062732B"/>
    <w:rsid w:val="00627509"/>
    <w:rsid w:val="00630E9A"/>
    <w:rsid w:val="00631A52"/>
    <w:rsid w:val="00631C9C"/>
    <w:rsid w:val="00632544"/>
    <w:rsid w:val="00632EAC"/>
    <w:rsid w:val="0063477E"/>
    <w:rsid w:val="006355F1"/>
    <w:rsid w:val="00641B7E"/>
    <w:rsid w:val="00642A83"/>
    <w:rsid w:val="00642F3F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870"/>
    <w:rsid w:val="00653A11"/>
    <w:rsid w:val="00653A14"/>
    <w:rsid w:val="00653BCF"/>
    <w:rsid w:val="006540E6"/>
    <w:rsid w:val="00657ECF"/>
    <w:rsid w:val="00657F0C"/>
    <w:rsid w:val="0066002B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6D6"/>
    <w:rsid w:val="00670F1B"/>
    <w:rsid w:val="006710BE"/>
    <w:rsid w:val="00672C86"/>
    <w:rsid w:val="00673BF4"/>
    <w:rsid w:val="00673D46"/>
    <w:rsid w:val="00674542"/>
    <w:rsid w:val="00675513"/>
    <w:rsid w:val="0067593B"/>
    <w:rsid w:val="0067628D"/>
    <w:rsid w:val="00676CF0"/>
    <w:rsid w:val="0068019C"/>
    <w:rsid w:val="00680617"/>
    <w:rsid w:val="00680FE3"/>
    <w:rsid w:val="006811C4"/>
    <w:rsid w:val="00681373"/>
    <w:rsid w:val="0068172E"/>
    <w:rsid w:val="0068173F"/>
    <w:rsid w:val="00681C7F"/>
    <w:rsid w:val="006826A1"/>
    <w:rsid w:val="006826B6"/>
    <w:rsid w:val="0068307F"/>
    <w:rsid w:val="00683595"/>
    <w:rsid w:val="00684004"/>
    <w:rsid w:val="00684B10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5627"/>
    <w:rsid w:val="00696206"/>
    <w:rsid w:val="00696E55"/>
    <w:rsid w:val="006975BC"/>
    <w:rsid w:val="00697B5F"/>
    <w:rsid w:val="006A0925"/>
    <w:rsid w:val="006A1B37"/>
    <w:rsid w:val="006A25EB"/>
    <w:rsid w:val="006A2B88"/>
    <w:rsid w:val="006A2D38"/>
    <w:rsid w:val="006A3341"/>
    <w:rsid w:val="006A6FAD"/>
    <w:rsid w:val="006B1826"/>
    <w:rsid w:val="006B3212"/>
    <w:rsid w:val="006B347E"/>
    <w:rsid w:val="006B4275"/>
    <w:rsid w:val="006B4308"/>
    <w:rsid w:val="006B43E1"/>
    <w:rsid w:val="006B4467"/>
    <w:rsid w:val="006B5A69"/>
    <w:rsid w:val="006B6EFB"/>
    <w:rsid w:val="006B7556"/>
    <w:rsid w:val="006C01A0"/>
    <w:rsid w:val="006C0965"/>
    <w:rsid w:val="006C1191"/>
    <w:rsid w:val="006C292A"/>
    <w:rsid w:val="006C2CEB"/>
    <w:rsid w:val="006C4072"/>
    <w:rsid w:val="006C4640"/>
    <w:rsid w:val="006C5BD2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35A7"/>
    <w:rsid w:val="006E51A2"/>
    <w:rsid w:val="006E5428"/>
    <w:rsid w:val="006E6A76"/>
    <w:rsid w:val="006F199F"/>
    <w:rsid w:val="006F204A"/>
    <w:rsid w:val="006F357E"/>
    <w:rsid w:val="006F3DBC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155"/>
    <w:rsid w:val="00707D33"/>
    <w:rsid w:val="0071081E"/>
    <w:rsid w:val="00710DB2"/>
    <w:rsid w:val="007110E6"/>
    <w:rsid w:val="00711976"/>
    <w:rsid w:val="007130BE"/>
    <w:rsid w:val="00713804"/>
    <w:rsid w:val="00713D88"/>
    <w:rsid w:val="00714030"/>
    <w:rsid w:val="00714DB1"/>
    <w:rsid w:val="00715018"/>
    <w:rsid w:val="007155D3"/>
    <w:rsid w:val="00716B34"/>
    <w:rsid w:val="007177ED"/>
    <w:rsid w:val="0071798B"/>
    <w:rsid w:val="0072161A"/>
    <w:rsid w:val="0072162A"/>
    <w:rsid w:val="0072166D"/>
    <w:rsid w:val="007217AF"/>
    <w:rsid w:val="00721B2F"/>
    <w:rsid w:val="007238F8"/>
    <w:rsid w:val="00724190"/>
    <w:rsid w:val="00724E73"/>
    <w:rsid w:val="007250C5"/>
    <w:rsid w:val="00725549"/>
    <w:rsid w:val="00726460"/>
    <w:rsid w:val="00727135"/>
    <w:rsid w:val="007271B1"/>
    <w:rsid w:val="00730C7C"/>
    <w:rsid w:val="007316B8"/>
    <w:rsid w:val="00732453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2F13"/>
    <w:rsid w:val="00744B93"/>
    <w:rsid w:val="00745DED"/>
    <w:rsid w:val="00746D48"/>
    <w:rsid w:val="0074755E"/>
    <w:rsid w:val="0074762D"/>
    <w:rsid w:val="00750E72"/>
    <w:rsid w:val="00753A41"/>
    <w:rsid w:val="00753E6F"/>
    <w:rsid w:val="00755AD7"/>
    <w:rsid w:val="007564BA"/>
    <w:rsid w:val="00756864"/>
    <w:rsid w:val="00757B9B"/>
    <w:rsid w:val="00760CE8"/>
    <w:rsid w:val="00761174"/>
    <w:rsid w:val="00761697"/>
    <w:rsid w:val="007621E4"/>
    <w:rsid w:val="007625EC"/>
    <w:rsid w:val="00762AB7"/>
    <w:rsid w:val="007638EA"/>
    <w:rsid w:val="00763992"/>
    <w:rsid w:val="00763EB4"/>
    <w:rsid w:val="007658A6"/>
    <w:rsid w:val="0076606C"/>
    <w:rsid w:val="00766BA8"/>
    <w:rsid w:val="00771F90"/>
    <w:rsid w:val="00773110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E6A"/>
    <w:rsid w:val="00793519"/>
    <w:rsid w:val="00793CF1"/>
    <w:rsid w:val="00794412"/>
    <w:rsid w:val="0079464E"/>
    <w:rsid w:val="007973AE"/>
    <w:rsid w:val="00797420"/>
    <w:rsid w:val="00797B10"/>
    <w:rsid w:val="00797E81"/>
    <w:rsid w:val="007A1749"/>
    <w:rsid w:val="007A1F3C"/>
    <w:rsid w:val="007A262F"/>
    <w:rsid w:val="007A324D"/>
    <w:rsid w:val="007A325B"/>
    <w:rsid w:val="007A3BBF"/>
    <w:rsid w:val="007A3DB5"/>
    <w:rsid w:val="007A3FD4"/>
    <w:rsid w:val="007B299C"/>
    <w:rsid w:val="007B2A97"/>
    <w:rsid w:val="007B3B82"/>
    <w:rsid w:val="007B3ED7"/>
    <w:rsid w:val="007B49B4"/>
    <w:rsid w:val="007B4C1A"/>
    <w:rsid w:val="007B5CB4"/>
    <w:rsid w:val="007B6146"/>
    <w:rsid w:val="007C0DCF"/>
    <w:rsid w:val="007C1E90"/>
    <w:rsid w:val="007C1FEB"/>
    <w:rsid w:val="007C25EB"/>
    <w:rsid w:val="007C5842"/>
    <w:rsid w:val="007C5C82"/>
    <w:rsid w:val="007C6231"/>
    <w:rsid w:val="007C62CC"/>
    <w:rsid w:val="007C67C9"/>
    <w:rsid w:val="007C7CD0"/>
    <w:rsid w:val="007D3572"/>
    <w:rsid w:val="007D3B92"/>
    <w:rsid w:val="007D42ED"/>
    <w:rsid w:val="007D4A63"/>
    <w:rsid w:val="007D6C15"/>
    <w:rsid w:val="007D7A62"/>
    <w:rsid w:val="007D7A6A"/>
    <w:rsid w:val="007E0005"/>
    <w:rsid w:val="007E04EB"/>
    <w:rsid w:val="007E08F3"/>
    <w:rsid w:val="007E0BF1"/>
    <w:rsid w:val="007E1D9C"/>
    <w:rsid w:val="007E2ADC"/>
    <w:rsid w:val="007E38F4"/>
    <w:rsid w:val="007E42C7"/>
    <w:rsid w:val="007E4304"/>
    <w:rsid w:val="007E4883"/>
    <w:rsid w:val="007E57D0"/>
    <w:rsid w:val="007E5B33"/>
    <w:rsid w:val="007E63F4"/>
    <w:rsid w:val="007E7FB0"/>
    <w:rsid w:val="007F16A2"/>
    <w:rsid w:val="007F31ED"/>
    <w:rsid w:val="007F400E"/>
    <w:rsid w:val="007F4244"/>
    <w:rsid w:val="007F59E2"/>
    <w:rsid w:val="007F75CB"/>
    <w:rsid w:val="007F76E5"/>
    <w:rsid w:val="00800B5B"/>
    <w:rsid w:val="00801B6B"/>
    <w:rsid w:val="00802A3E"/>
    <w:rsid w:val="00802B57"/>
    <w:rsid w:val="0080308A"/>
    <w:rsid w:val="00804239"/>
    <w:rsid w:val="0080482F"/>
    <w:rsid w:val="00806712"/>
    <w:rsid w:val="00806F56"/>
    <w:rsid w:val="008070DA"/>
    <w:rsid w:val="00807B70"/>
    <w:rsid w:val="0081007A"/>
    <w:rsid w:val="00810FF3"/>
    <w:rsid w:val="00811B5A"/>
    <w:rsid w:val="00812A05"/>
    <w:rsid w:val="00812B7C"/>
    <w:rsid w:val="0081357E"/>
    <w:rsid w:val="00814444"/>
    <w:rsid w:val="00814AD0"/>
    <w:rsid w:val="00814EE4"/>
    <w:rsid w:val="00815694"/>
    <w:rsid w:val="008166DC"/>
    <w:rsid w:val="00822B88"/>
    <w:rsid w:val="00824242"/>
    <w:rsid w:val="0082540F"/>
    <w:rsid w:val="00825973"/>
    <w:rsid w:val="00826017"/>
    <w:rsid w:val="008266A5"/>
    <w:rsid w:val="008278B1"/>
    <w:rsid w:val="00827C35"/>
    <w:rsid w:val="00830131"/>
    <w:rsid w:val="00830BDE"/>
    <w:rsid w:val="00831200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64E"/>
    <w:rsid w:val="00837C07"/>
    <w:rsid w:val="00837E33"/>
    <w:rsid w:val="00840022"/>
    <w:rsid w:val="00842ABE"/>
    <w:rsid w:val="0084354B"/>
    <w:rsid w:val="00843705"/>
    <w:rsid w:val="00843D55"/>
    <w:rsid w:val="008446DE"/>
    <w:rsid w:val="00845257"/>
    <w:rsid w:val="00847775"/>
    <w:rsid w:val="0085153B"/>
    <w:rsid w:val="00851584"/>
    <w:rsid w:val="00852694"/>
    <w:rsid w:val="00852FCA"/>
    <w:rsid w:val="00854627"/>
    <w:rsid w:val="00855434"/>
    <w:rsid w:val="00857868"/>
    <w:rsid w:val="00857D3E"/>
    <w:rsid w:val="00860184"/>
    <w:rsid w:val="00860D8F"/>
    <w:rsid w:val="00860ECC"/>
    <w:rsid w:val="00861683"/>
    <w:rsid w:val="00861ED9"/>
    <w:rsid w:val="0086401C"/>
    <w:rsid w:val="008640F9"/>
    <w:rsid w:val="00864E80"/>
    <w:rsid w:val="00865ABE"/>
    <w:rsid w:val="00866E62"/>
    <w:rsid w:val="008677FE"/>
    <w:rsid w:val="00870637"/>
    <w:rsid w:val="00872047"/>
    <w:rsid w:val="0087249F"/>
    <w:rsid w:val="00872B4C"/>
    <w:rsid w:val="00873BC4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3DB5"/>
    <w:rsid w:val="00884784"/>
    <w:rsid w:val="00884FE0"/>
    <w:rsid w:val="008876A1"/>
    <w:rsid w:val="008903AE"/>
    <w:rsid w:val="00890B01"/>
    <w:rsid w:val="00891393"/>
    <w:rsid w:val="00892057"/>
    <w:rsid w:val="00892EF8"/>
    <w:rsid w:val="00893197"/>
    <w:rsid w:val="008945AE"/>
    <w:rsid w:val="00895A0D"/>
    <w:rsid w:val="00895E5D"/>
    <w:rsid w:val="00896B2E"/>
    <w:rsid w:val="008971AD"/>
    <w:rsid w:val="008A026C"/>
    <w:rsid w:val="008A09B1"/>
    <w:rsid w:val="008A3312"/>
    <w:rsid w:val="008A4260"/>
    <w:rsid w:val="008A4B3A"/>
    <w:rsid w:val="008A4D2F"/>
    <w:rsid w:val="008A4DB6"/>
    <w:rsid w:val="008A4E83"/>
    <w:rsid w:val="008A580D"/>
    <w:rsid w:val="008A60FF"/>
    <w:rsid w:val="008A6641"/>
    <w:rsid w:val="008A68E6"/>
    <w:rsid w:val="008A707F"/>
    <w:rsid w:val="008A7736"/>
    <w:rsid w:val="008B1C04"/>
    <w:rsid w:val="008B2920"/>
    <w:rsid w:val="008B494B"/>
    <w:rsid w:val="008B6030"/>
    <w:rsid w:val="008B6A77"/>
    <w:rsid w:val="008B72A9"/>
    <w:rsid w:val="008B770A"/>
    <w:rsid w:val="008C006E"/>
    <w:rsid w:val="008C0AE4"/>
    <w:rsid w:val="008C0C9B"/>
    <w:rsid w:val="008C0EAA"/>
    <w:rsid w:val="008C19BA"/>
    <w:rsid w:val="008C1CDE"/>
    <w:rsid w:val="008C1DD1"/>
    <w:rsid w:val="008C3CEF"/>
    <w:rsid w:val="008C4384"/>
    <w:rsid w:val="008C552C"/>
    <w:rsid w:val="008C5D63"/>
    <w:rsid w:val="008C7A40"/>
    <w:rsid w:val="008D324A"/>
    <w:rsid w:val="008D3D6F"/>
    <w:rsid w:val="008D3E97"/>
    <w:rsid w:val="008D5A50"/>
    <w:rsid w:val="008D5BAB"/>
    <w:rsid w:val="008D5D0B"/>
    <w:rsid w:val="008E0448"/>
    <w:rsid w:val="008E0543"/>
    <w:rsid w:val="008E1091"/>
    <w:rsid w:val="008E158C"/>
    <w:rsid w:val="008E1CBB"/>
    <w:rsid w:val="008E1EB9"/>
    <w:rsid w:val="008E496F"/>
    <w:rsid w:val="008E686B"/>
    <w:rsid w:val="008E71DB"/>
    <w:rsid w:val="008E7EB4"/>
    <w:rsid w:val="008F2B67"/>
    <w:rsid w:val="008F301F"/>
    <w:rsid w:val="008F3F16"/>
    <w:rsid w:val="008F4799"/>
    <w:rsid w:val="008F52E5"/>
    <w:rsid w:val="008F55A4"/>
    <w:rsid w:val="008F6617"/>
    <w:rsid w:val="008F6B64"/>
    <w:rsid w:val="008F70B9"/>
    <w:rsid w:val="008F719E"/>
    <w:rsid w:val="0090089A"/>
    <w:rsid w:val="009014CA"/>
    <w:rsid w:val="00901A1C"/>
    <w:rsid w:val="0090279F"/>
    <w:rsid w:val="00902F8A"/>
    <w:rsid w:val="009038A9"/>
    <w:rsid w:val="00904908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D8"/>
    <w:rsid w:val="0092003A"/>
    <w:rsid w:val="009203D6"/>
    <w:rsid w:val="00921C98"/>
    <w:rsid w:val="00923404"/>
    <w:rsid w:val="00923FCA"/>
    <w:rsid w:val="0092403F"/>
    <w:rsid w:val="0092441A"/>
    <w:rsid w:val="009250DB"/>
    <w:rsid w:val="0092530C"/>
    <w:rsid w:val="00926424"/>
    <w:rsid w:val="0092698D"/>
    <w:rsid w:val="00930DD2"/>
    <w:rsid w:val="00930E18"/>
    <w:rsid w:val="00931E59"/>
    <w:rsid w:val="009322F2"/>
    <w:rsid w:val="00933A1A"/>
    <w:rsid w:val="00933BB5"/>
    <w:rsid w:val="0093464A"/>
    <w:rsid w:val="0093503E"/>
    <w:rsid w:val="009355D7"/>
    <w:rsid w:val="00935E6D"/>
    <w:rsid w:val="0093725F"/>
    <w:rsid w:val="00937E33"/>
    <w:rsid w:val="009409A5"/>
    <w:rsid w:val="009412C6"/>
    <w:rsid w:val="009426F7"/>
    <w:rsid w:val="009446EA"/>
    <w:rsid w:val="009447F7"/>
    <w:rsid w:val="00947445"/>
    <w:rsid w:val="009476E1"/>
    <w:rsid w:val="009502CE"/>
    <w:rsid w:val="00950420"/>
    <w:rsid w:val="00951FEB"/>
    <w:rsid w:val="0095220B"/>
    <w:rsid w:val="00952316"/>
    <w:rsid w:val="00952B7C"/>
    <w:rsid w:val="00953EEA"/>
    <w:rsid w:val="00954215"/>
    <w:rsid w:val="00954A84"/>
    <w:rsid w:val="00954CD0"/>
    <w:rsid w:val="00956200"/>
    <w:rsid w:val="009564A8"/>
    <w:rsid w:val="00956C8A"/>
    <w:rsid w:val="00961446"/>
    <w:rsid w:val="0096225A"/>
    <w:rsid w:val="00963AD4"/>
    <w:rsid w:val="00963BBC"/>
    <w:rsid w:val="00964A24"/>
    <w:rsid w:val="0096711C"/>
    <w:rsid w:val="00967223"/>
    <w:rsid w:val="00967881"/>
    <w:rsid w:val="00967D6D"/>
    <w:rsid w:val="00972D70"/>
    <w:rsid w:val="00973DAC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20C6"/>
    <w:rsid w:val="009A4121"/>
    <w:rsid w:val="009A546A"/>
    <w:rsid w:val="009A6640"/>
    <w:rsid w:val="009B1469"/>
    <w:rsid w:val="009B245D"/>
    <w:rsid w:val="009B40B4"/>
    <w:rsid w:val="009B4445"/>
    <w:rsid w:val="009B4837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F01A3"/>
    <w:rsid w:val="009F0D5B"/>
    <w:rsid w:val="009F1A2B"/>
    <w:rsid w:val="009F307D"/>
    <w:rsid w:val="009F34AE"/>
    <w:rsid w:val="009F3A16"/>
    <w:rsid w:val="009F3BEC"/>
    <w:rsid w:val="009F451D"/>
    <w:rsid w:val="009F5B4F"/>
    <w:rsid w:val="009F7946"/>
    <w:rsid w:val="00A024D3"/>
    <w:rsid w:val="00A02D0F"/>
    <w:rsid w:val="00A04FCB"/>
    <w:rsid w:val="00A0774C"/>
    <w:rsid w:val="00A07B42"/>
    <w:rsid w:val="00A109F3"/>
    <w:rsid w:val="00A11711"/>
    <w:rsid w:val="00A11BF8"/>
    <w:rsid w:val="00A12A90"/>
    <w:rsid w:val="00A147F6"/>
    <w:rsid w:val="00A14A72"/>
    <w:rsid w:val="00A14FB4"/>
    <w:rsid w:val="00A1530B"/>
    <w:rsid w:val="00A155A2"/>
    <w:rsid w:val="00A16523"/>
    <w:rsid w:val="00A17773"/>
    <w:rsid w:val="00A1795A"/>
    <w:rsid w:val="00A207CA"/>
    <w:rsid w:val="00A21023"/>
    <w:rsid w:val="00A21216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8DA"/>
    <w:rsid w:val="00A33E4A"/>
    <w:rsid w:val="00A34F42"/>
    <w:rsid w:val="00A368E9"/>
    <w:rsid w:val="00A371FA"/>
    <w:rsid w:val="00A374C8"/>
    <w:rsid w:val="00A37A66"/>
    <w:rsid w:val="00A40AD6"/>
    <w:rsid w:val="00A41899"/>
    <w:rsid w:val="00A427D7"/>
    <w:rsid w:val="00A4353D"/>
    <w:rsid w:val="00A45DD4"/>
    <w:rsid w:val="00A4626E"/>
    <w:rsid w:val="00A471C4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7C"/>
    <w:rsid w:val="00A57123"/>
    <w:rsid w:val="00A60EBA"/>
    <w:rsid w:val="00A6143F"/>
    <w:rsid w:val="00A61895"/>
    <w:rsid w:val="00A6241F"/>
    <w:rsid w:val="00A63CDC"/>
    <w:rsid w:val="00A63D53"/>
    <w:rsid w:val="00A6611E"/>
    <w:rsid w:val="00A67623"/>
    <w:rsid w:val="00A67E61"/>
    <w:rsid w:val="00A70256"/>
    <w:rsid w:val="00A70599"/>
    <w:rsid w:val="00A70D7D"/>
    <w:rsid w:val="00A7142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35B4"/>
    <w:rsid w:val="00A736DB"/>
    <w:rsid w:val="00A741C2"/>
    <w:rsid w:val="00A7437D"/>
    <w:rsid w:val="00A74895"/>
    <w:rsid w:val="00A75202"/>
    <w:rsid w:val="00A7598B"/>
    <w:rsid w:val="00A772AC"/>
    <w:rsid w:val="00A77710"/>
    <w:rsid w:val="00A778BB"/>
    <w:rsid w:val="00A81B80"/>
    <w:rsid w:val="00A81B88"/>
    <w:rsid w:val="00A83127"/>
    <w:rsid w:val="00A8350B"/>
    <w:rsid w:val="00A83AB0"/>
    <w:rsid w:val="00A846F3"/>
    <w:rsid w:val="00A84E99"/>
    <w:rsid w:val="00A86177"/>
    <w:rsid w:val="00A865BC"/>
    <w:rsid w:val="00A872FF"/>
    <w:rsid w:val="00A87939"/>
    <w:rsid w:val="00A9156E"/>
    <w:rsid w:val="00A929A0"/>
    <w:rsid w:val="00A930E9"/>
    <w:rsid w:val="00A93F04"/>
    <w:rsid w:val="00A94104"/>
    <w:rsid w:val="00A9458A"/>
    <w:rsid w:val="00A951DB"/>
    <w:rsid w:val="00A9571F"/>
    <w:rsid w:val="00A9619E"/>
    <w:rsid w:val="00A96360"/>
    <w:rsid w:val="00A96ED7"/>
    <w:rsid w:val="00A974EE"/>
    <w:rsid w:val="00A9778A"/>
    <w:rsid w:val="00A97967"/>
    <w:rsid w:val="00AA0185"/>
    <w:rsid w:val="00AA07F5"/>
    <w:rsid w:val="00AA10C3"/>
    <w:rsid w:val="00AA26F6"/>
    <w:rsid w:val="00AA293F"/>
    <w:rsid w:val="00AA3FC0"/>
    <w:rsid w:val="00AA3FC3"/>
    <w:rsid w:val="00AA431D"/>
    <w:rsid w:val="00AA44DA"/>
    <w:rsid w:val="00AA729C"/>
    <w:rsid w:val="00AA7A6F"/>
    <w:rsid w:val="00AB1DAE"/>
    <w:rsid w:val="00AB217A"/>
    <w:rsid w:val="00AB2514"/>
    <w:rsid w:val="00AB265D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3F6"/>
    <w:rsid w:val="00AB6A6C"/>
    <w:rsid w:val="00AB6DF8"/>
    <w:rsid w:val="00AB6ED7"/>
    <w:rsid w:val="00AB6FD2"/>
    <w:rsid w:val="00AB76F7"/>
    <w:rsid w:val="00AC2ABA"/>
    <w:rsid w:val="00AC4104"/>
    <w:rsid w:val="00AC4C7A"/>
    <w:rsid w:val="00AC4ED7"/>
    <w:rsid w:val="00AC524C"/>
    <w:rsid w:val="00AC59E2"/>
    <w:rsid w:val="00AC5F5B"/>
    <w:rsid w:val="00AC6235"/>
    <w:rsid w:val="00AC7214"/>
    <w:rsid w:val="00AD058B"/>
    <w:rsid w:val="00AD0FDB"/>
    <w:rsid w:val="00AD3DB5"/>
    <w:rsid w:val="00AD568E"/>
    <w:rsid w:val="00AD5F6E"/>
    <w:rsid w:val="00AD5F7B"/>
    <w:rsid w:val="00AD6CA7"/>
    <w:rsid w:val="00AD724E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C7"/>
    <w:rsid w:val="00AF05EB"/>
    <w:rsid w:val="00AF0E2B"/>
    <w:rsid w:val="00AF1310"/>
    <w:rsid w:val="00AF1F04"/>
    <w:rsid w:val="00AF2653"/>
    <w:rsid w:val="00AF337A"/>
    <w:rsid w:val="00AF3637"/>
    <w:rsid w:val="00AF3E30"/>
    <w:rsid w:val="00AF5475"/>
    <w:rsid w:val="00AF5631"/>
    <w:rsid w:val="00AF744F"/>
    <w:rsid w:val="00AF75BE"/>
    <w:rsid w:val="00AF78AE"/>
    <w:rsid w:val="00B009C4"/>
    <w:rsid w:val="00B00B80"/>
    <w:rsid w:val="00B00C96"/>
    <w:rsid w:val="00B01DB5"/>
    <w:rsid w:val="00B03AD0"/>
    <w:rsid w:val="00B058D3"/>
    <w:rsid w:val="00B10EBC"/>
    <w:rsid w:val="00B12C3B"/>
    <w:rsid w:val="00B12CB3"/>
    <w:rsid w:val="00B12EE5"/>
    <w:rsid w:val="00B12EF7"/>
    <w:rsid w:val="00B14A85"/>
    <w:rsid w:val="00B14B92"/>
    <w:rsid w:val="00B14D91"/>
    <w:rsid w:val="00B1538C"/>
    <w:rsid w:val="00B159DD"/>
    <w:rsid w:val="00B15E17"/>
    <w:rsid w:val="00B15FB9"/>
    <w:rsid w:val="00B17653"/>
    <w:rsid w:val="00B178C0"/>
    <w:rsid w:val="00B202C2"/>
    <w:rsid w:val="00B202F1"/>
    <w:rsid w:val="00B205A5"/>
    <w:rsid w:val="00B2075D"/>
    <w:rsid w:val="00B209A0"/>
    <w:rsid w:val="00B2265E"/>
    <w:rsid w:val="00B256C0"/>
    <w:rsid w:val="00B2681C"/>
    <w:rsid w:val="00B26B46"/>
    <w:rsid w:val="00B2781C"/>
    <w:rsid w:val="00B303C8"/>
    <w:rsid w:val="00B325F5"/>
    <w:rsid w:val="00B32683"/>
    <w:rsid w:val="00B32D75"/>
    <w:rsid w:val="00B33145"/>
    <w:rsid w:val="00B3361F"/>
    <w:rsid w:val="00B339CD"/>
    <w:rsid w:val="00B33FAF"/>
    <w:rsid w:val="00B342AC"/>
    <w:rsid w:val="00B364AD"/>
    <w:rsid w:val="00B36D43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55D4"/>
    <w:rsid w:val="00B4722A"/>
    <w:rsid w:val="00B51434"/>
    <w:rsid w:val="00B51715"/>
    <w:rsid w:val="00B51895"/>
    <w:rsid w:val="00B53A5A"/>
    <w:rsid w:val="00B53B8E"/>
    <w:rsid w:val="00B57193"/>
    <w:rsid w:val="00B601C4"/>
    <w:rsid w:val="00B608DB"/>
    <w:rsid w:val="00B60F97"/>
    <w:rsid w:val="00B60FD5"/>
    <w:rsid w:val="00B6122D"/>
    <w:rsid w:val="00B6125D"/>
    <w:rsid w:val="00B61D56"/>
    <w:rsid w:val="00B6315E"/>
    <w:rsid w:val="00B64CB1"/>
    <w:rsid w:val="00B6532D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87B"/>
    <w:rsid w:val="00B73C8D"/>
    <w:rsid w:val="00B75ABC"/>
    <w:rsid w:val="00B7617A"/>
    <w:rsid w:val="00B7692A"/>
    <w:rsid w:val="00B7737D"/>
    <w:rsid w:val="00B774A4"/>
    <w:rsid w:val="00B800C1"/>
    <w:rsid w:val="00B801A3"/>
    <w:rsid w:val="00B80E38"/>
    <w:rsid w:val="00B80F3B"/>
    <w:rsid w:val="00B80FAF"/>
    <w:rsid w:val="00B836ED"/>
    <w:rsid w:val="00B848C9"/>
    <w:rsid w:val="00B855C2"/>
    <w:rsid w:val="00B85D36"/>
    <w:rsid w:val="00B936C9"/>
    <w:rsid w:val="00B93E09"/>
    <w:rsid w:val="00B93E60"/>
    <w:rsid w:val="00B93EE0"/>
    <w:rsid w:val="00B96A34"/>
    <w:rsid w:val="00B96BFE"/>
    <w:rsid w:val="00BA0940"/>
    <w:rsid w:val="00BA2143"/>
    <w:rsid w:val="00BA267A"/>
    <w:rsid w:val="00BA2A53"/>
    <w:rsid w:val="00BA3230"/>
    <w:rsid w:val="00BA3A0E"/>
    <w:rsid w:val="00BA3D0B"/>
    <w:rsid w:val="00BA4075"/>
    <w:rsid w:val="00BA4534"/>
    <w:rsid w:val="00BA5A0C"/>
    <w:rsid w:val="00BA6394"/>
    <w:rsid w:val="00BA7309"/>
    <w:rsid w:val="00BA7AEC"/>
    <w:rsid w:val="00BB01E0"/>
    <w:rsid w:val="00BB0244"/>
    <w:rsid w:val="00BB308A"/>
    <w:rsid w:val="00BB3744"/>
    <w:rsid w:val="00BB3C1A"/>
    <w:rsid w:val="00BB4764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5ECA"/>
    <w:rsid w:val="00BC5FA2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DAB"/>
    <w:rsid w:val="00BE03F6"/>
    <w:rsid w:val="00BE1A0A"/>
    <w:rsid w:val="00BE25BC"/>
    <w:rsid w:val="00BE3569"/>
    <w:rsid w:val="00BE389E"/>
    <w:rsid w:val="00BE398D"/>
    <w:rsid w:val="00BE3D38"/>
    <w:rsid w:val="00BE447E"/>
    <w:rsid w:val="00BE5030"/>
    <w:rsid w:val="00BE5300"/>
    <w:rsid w:val="00BE66B6"/>
    <w:rsid w:val="00BE77AD"/>
    <w:rsid w:val="00BE7E89"/>
    <w:rsid w:val="00BF0025"/>
    <w:rsid w:val="00BF03CF"/>
    <w:rsid w:val="00BF09CE"/>
    <w:rsid w:val="00BF0BE6"/>
    <w:rsid w:val="00BF20DA"/>
    <w:rsid w:val="00BF216C"/>
    <w:rsid w:val="00BF26A0"/>
    <w:rsid w:val="00BF2759"/>
    <w:rsid w:val="00BF2926"/>
    <w:rsid w:val="00BF2C7B"/>
    <w:rsid w:val="00BF2D51"/>
    <w:rsid w:val="00BF5C32"/>
    <w:rsid w:val="00C00D5F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1D9"/>
    <w:rsid w:val="00C1271B"/>
    <w:rsid w:val="00C13585"/>
    <w:rsid w:val="00C13880"/>
    <w:rsid w:val="00C15584"/>
    <w:rsid w:val="00C17342"/>
    <w:rsid w:val="00C20238"/>
    <w:rsid w:val="00C20467"/>
    <w:rsid w:val="00C20C78"/>
    <w:rsid w:val="00C215D0"/>
    <w:rsid w:val="00C232F1"/>
    <w:rsid w:val="00C23C48"/>
    <w:rsid w:val="00C24A9D"/>
    <w:rsid w:val="00C250D3"/>
    <w:rsid w:val="00C2617F"/>
    <w:rsid w:val="00C27490"/>
    <w:rsid w:val="00C311DA"/>
    <w:rsid w:val="00C32284"/>
    <w:rsid w:val="00C328DB"/>
    <w:rsid w:val="00C32AC2"/>
    <w:rsid w:val="00C32C85"/>
    <w:rsid w:val="00C32DF9"/>
    <w:rsid w:val="00C333BD"/>
    <w:rsid w:val="00C33BE7"/>
    <w:rsid w:val="00C34812"/>
    <w:rsid w:val="00C34C81"/>
    <w:rsid w:val="00C35867"/>
    <w:rsid w:val="00C359D2"/>
    <w:rsid w:val="00C421B7"/>
    <w:rsid w:val="00C42ED0"/>
    <w:rsid w:val="00C44D97"/>
    <w:rsid w:val="00C45C2A"/>
    <w:rsid w:val="00C46602"/>
    <w:rsid w:val="00C476B0"/>
    <w:rsid w:val="00C50936"/>
    <w:rsid w:val="00C511E0"/>
    <w:rsid w:val="00C516CC"/>
    <w:rsid w:val="00C51967"/>
    <w:rsid w:val="00C52045"/>
    <w:rsid w:val="00C524F5"/>
    <w:rsid w:val="00C53A38"/>
    <w:rsid w:val="00C53A87"/>
    <w:rsid w:val="00C543CC"/>
    <w:rsid w:val="00C54940"/>
    <w:rsid w:val="00C54B71"/>
    <w:rsid w:val="00C551A9"/>
    <w:rsid w:val="00C56034"/>
    <w:rsid w:val="00C563A2"/>
    <w:rsid w:val="00C56416"/>
    <w:rsid w:val="00C56BE4"/>
    <w:rsid w:val="00C57126"/>
    <w:rsid w:val="00C57D8A"/>
    <w:rsid w:val="00C600FA"/>
    <w:rsid w:val="00C6125B"/>
    <w:rsid w:val="00C618E5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5E7"/>
    <w:rsid w:val="00C71F57"/>
    <w:rsid w:val="00C73800"/>
    <w:rsid w:val="00C73A02"/>
    <w:rsid w:val="00C73CD0"/>
    <w:rsid w:val="00C73F34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4855"/>
    <w:rsid w:val="00C852E7"/>
    <w:rsid w:val="00C8628A"/>
    <w:rsid w:val="00C865CD"/>
    <w:rsid w:val="00C865E0"/>
    <w:rsid w:val="00C877FD"/>
    <w:rsid w:val="00C87AB9"/>
    <w:rsid w:val="00C87E29"/>
    <w:rsid w:val="00C90C21"/>
    <w:rsid w:val="00C91822"/>
    <w:rsid w:val="00C9223F"/>
    <w:rsid w:val="00C93759"/>
    <w:rsid w:val="00C9424E"/>
    <w:rsid w:val="00C943D1"/>
    <w:rsid w:val="00C9621E"/>
    <w:rsid w:val="00CA18DB"/>
    <w:rsid w:val="00CA220D"/>
    <w:rsid w:val="00CA22E2"/>
    <w:rsid w:val="00CA266E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6E70"/>
    <w:rsid w:val="00CB7374"/>
    <w:rsid w:val="00CB79AA"/>
    <w:rsid w:val="00CB7DB8"/>
    <w:rsid w:val="00CC109A"/>
    <w:rsid w:val="00CC27A1"/>
    <w:rsid w:val="00CC29CE"/>
    <w:rsid w:val="00CC2EC6"/>
    <w:rsid w:val="00CC3727"/>
    <w:rsid w:val="00CC423C"/>
    <w:rsid w:val="00CC5DFD"/>
    <w:rsid w:val="00CC6844"/>
    <w:rsid w:val="00CC7C8D"/>
    <w:rsid w:val="00CD0DC4"/>
    <w:rsid w:val="00CD13E5"/>
    <w:rsid w:val="00CD1BD3"/>
    <w:rsid w:val="00CD3320"/>
    <w:rsid w:val="00CD4704"/>
    <w:rsid w:val="00CD546E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32AB"/>
    <w:rsid w:val="00CF359A"/>
    <w:rsid w:val="00CF3790"/>
    <w:rsid w:val="00CF3B66"/>
    <w:rsid w:val="00CF40C5"/>
    <w:rsid w:val="00CF4C49"/>
    <w:rsid w:val="00CF4F42"/>
    <w:rsid w:val="00CF57C7"/>
    <w:rsid w:val="00CF5911"/>
    <w:rsid w:val="00CF675C"/>
    <w:rsid w:val="00CF6AD3"/>
    <w:rsid w:val="00CF7537"/>
    <w:rsid w:val="00CF7976"/>
    <w:rsid w:val="00CF7C58"/>
    <w:rsid w:val="00CF7E6E"/>
    <w:rsid w:val="00D01073"/>
    <w:rsid w:val="00D02C0F"/>
    <w:rsid w:val="00D033B7"/>
    <w:rsid w:val="00D0434F"/>
    <w:rsid w:val="00D04686"/>
    <w:rsid w:val="00D05563"/>
    <w:rsid w:val="00D05FF7"/>
    <w:rsid w:val="00D07B94"/>
    <w:rsid w:val="00D07EC2"/>
    <w:rsid w:val="00D1009F"/>
    <w:rsid w:val="00D10248"/>
    <w:rsid w:val="00D103CC"/>
    <w:rsid w:val="00D10778"/>
    <w:rsid w:val="00D10FA1"/>
    <w:rsid w:val="00D11A6D"/>
    <w:rsid w:val="00D147F5"/>
    <w:rsid w:val="00D14849"/>
    <w:rsid w:val="00D14C5D"/>
    <w:rsid w:val="00D154BD"/>
    <w:rsid w:val="00D15929"/>
    <w:rsid w:val="00D15A2A"/>
    <w:rsid w:val="00D16668"/>
    <w:rsid w:val="00D167C2"/>
    <w:rsid w:val="00D16868"/>
    <w:rsid w:val="00D16DD3"/>
    <w:rsid w:val="00D204A7"/>
    <w:rsid w:val="00D21563"/>
    <w:rsid w:val="00D2208F"/>
    <w:rsid w:val="00D22C71"/>
    <w:rsid w:val="00D230A5"/>
    <w:rsid w:val="00D23DCA"/>
    <w:rsid w:val="00D24FF5"/>
    <w:rsid w:val="00D25DA1"/>
    <w:rsid w:val="00D26DED"/>
    <w:rsid w:val="00D2719E"/>
    <w:rsid w:val="00D2738D"/>
    <w:rsid w:val="00D27B3D"/>
    <w:rsid w:val="00D3051E"/>
    <w:rsid w:val="00D3142E"/>
    <w:rsid w:val="00D32097"/>
    <w:rsid w:val="00D33009"/>
    <w:rsid w:val="00D33ACD"/>
    <w:rsid w:val="00D348E4"/>
    <w:rsid w:val="00D35223"/>
    <w:rsid w:val="00D3618E"/>
    <w:rsid w:val="00D40DAB"/>
    <w:rsid w:val="00D42028"/>
    <w:rsid w:val="00D44B7D"/>
    <w:rsid w:val="00D45588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842"/>
    <w:rsid w:val="00D725AF"/>
    <w:rsid w:val="00D72B03"/>
    <w:rsid w:val="00D72E1A"/>
    <w:rsid w:val="00D733D4"/>
    <w:rsid w:val="00D74EF6"/>
    <w:rsid w:val="00D8023F"/>
    <w:rsid w:val="00D84E2B"/>
    <w:rsid w:val="00D8542D"/>
    <w:rsid w:val="00D866E9"/>
    <w:rsid w:val="00D86B40"/>
    <w:rsid w:val="00D87747"/>
    <w:rsid w:val="00D87CA4"/>
    <w:rsid w:val="00D87E4B"/>
    <w:rsid w:val="00D90384"/>
    <w:rsid w:val="00D90602"/>
    <w:rsid w:val="00D90C34"/>
    <w:rsid w:val="00D91C81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A1193"/>
    <w:rsid w:val="00DA19A1"/>
    <w:rsid w:val="00DA3175"/>
    <w:rsid w:val="00DA3CD0"/>
    <w:rsid w:val="00DA4624"/>
    <w:rsid w:val="00DA5F81"/>
    <w:rsid w:val="00DA6529"/>
    <w:rsid w:val="00DA669F"/>
    <w:rsid w:val="00DA711A"/>
    <w:rsid w:val="00DB072C"/>
    <w:rsid w:val="00DB11AA"/>
    <w:rsid w:val="00DB1397"/>
    <w:rsid w:val="00DB14D9"/>
    <w:rsid w:val="00DB1AEC"/>
    <w:rsid w:val="00DB20BE"/>
    <w:rsid w:val="00DB3288"/>
    <w:rsid w:val="00DB50FB"/>
    <w:rsid w:val="00DB6C1B"/>
    <w:rsid w:val="00DC01E8"/>
    <w:rsid w:val="00DC1896"/>
    <w:rsid w:val="00DC19D1"/>
    <w:rsid w:val="00DC1D4C"/>
    <w:rsid w:val="00DC3F52"/>
    <w:rsid w:val="00DC457B"/>
    <w:rsid w:val="00DC4A9D"/>
    <w:rsid w:val="00DC4BF7"/>
    <w:rsid w:val="00DC4EE4"/>
    <w:rsid w:val="00DC50DB"/>
    <w:rsid w:val="00DC5DB3"/>
    <w:rsid w:val="00DC5E68"/>
    <w:rsid w:val="00DC66F7"/>
    <w:rsid w:val="00DC6972"/>
    <w:rsid w:val="00DD0014"/>
    <w:rsid w:val="00DD0B61"/>
    <w:rsid w:val="00DD1DCF"/>
    <w:rsid w:val="00DD2039"/>
    <w:rsid w:val="00DD2ED7"/>
    <w:rsid w:val="00DD356D"/>
    <w:rsid w:val="00DD41C8"/>
    <w:rsid w:val="00DD4536"/>
    <w:rsid w:val="00DD6237"/>
    <w:rsid w:val="00DD7E33"/>
    <w:rsid w:val="00DE0B75"/>
    <w:rsid w:val="00DE135B"/>
    <w:rsid w:val="00DE249D"/>
    <w:rsid w:val="00DE260E"/>
    <w:rsid w:val="00DE31AD"/>
    <w:rsid w:val="00DE53F1"/>
    <w:rsid w:val="00DE5A7D"/>
    <w:rsid w:val="00DE714A"/>
    <w:rsid w:val="00DF190C"/>
    <w:rsid w:val="00DF27CE"/>
    <w:rsid w:val="00DF2CB8"/>
    <w:rsid w:val="00DF2DC2"/>
    <w:rsid w:val="00DF378D"/>
    <w:rsid w:val="00DF3A66"/>
    <w:rsid w:val="00DF3E32"/>
    <w:rsid w:val="00DF73AC"/>
    <w:rsid w:val="00DF7613"/>
    <w:rsid w:val="00E007C7"/>
    <w:rsid w:val="00E009AC"/>
    <w:rsid w:val="00E00AC9"/>
    <w:rsid w:val="00E01C4E"/>
    <w:rsid w:val="00E03B86"/>
    <w:rsid w:val="00E04581"/>
    <w:rsid w:val="00E052E0"/>
    <w:rsid w:val="00E05A2F"/>
    <w:rsid w:val="00E063DF"/>
    <w:rsid w:val="00E06F14"/>
    <w:rsid w:val="00E07CAF"/>
    <w:rsid w:val="00E10B86"/>
    <w:rsid w:val="00E1137D"/>
    <w:rsid w:val="00E11BD7"/>
    <w:rsid w:val="00E11D4C"/>
    <w:rsid w:val="00E11EBF"/>
    <w:rsid w:val="00E13494"/>
    <w:rsid w:val="00E13802"/>
    <w:rsid w:val="00E142A9"/>
    <w:rsid w:val="00E14E0C"/>
    <w:rsid w:val="00E14E59"/>
    <w:rsid w:val="00E1506A"/>
    <w:rsid w:val="00E152CF"/>
    <w:rsid w:val="00E158C4"/>
    <w:rsid w:val="00E15AA3"/>
    <w:rsid w:val="00E16123"/>
    <w:rsid w:val="00E1634F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135B"/>
    <w:rsid w:val="00E31EEB"/>
    <w:rsid w:val="00E32430"/>
    <w:rsid w:val="00E32974"/>
    <w:rsid w:val="00E3341B"/>
    <w:rsid w:val="00E3384C"/>
    <w:rsid w:val="00E33A02"/>
    <w:rsid w:val="00E34E86"/>
    <w:rsid w:val="00E35365"/>
    <w:rsid w:val="00E35478"/>
    <w:rsid w:val="00E359CA"/>
    <w:rsid w:val="00E3673D"/>
    <w:rsid w:val="00E36819"/>
    <w:rsid w:val="00E37103"/>
    <w:rsid w:val="00E41411"/>
    <w:rsid w:val="00E41835"/>
    <w:rsid w:val="00E41B5A"/>
    <w:rsid w:val="00E422E6"/>
    <w:rsid w:val="00E42776"/>
    <w:rsid w:val="00E428C4"/>
    <w:rsid w:val="00E4454D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03A"/>
    <w:rsid w:val="00E61418"/>
    <w:rsid w:val="00E63323"/>
    <w:rsid w:val="00E64767"/>
    <w:rsid w:val="00E65071"/>
    <w:rsid w:val="00E65088"/>
    <w:rsid w:val="00E654FF"/>
    <w:rsid w:val="00E65D5F"/>
    <w:rsid w:val="00E65EE0"/>
    <w:rsid w:val="00E66160"/>
    <w:rsid w:val="00E66C6F"/>
    <w:rsid w:val="00E67F31"/>
    <w:rsid w:val="00E70DE5"/>
    <w:rsid w:val="00E71E31"/>
    <w:rsid w:val="00E725B1"/>
    <w:rsid w:val="00E72D27"/>
    <w:rsid w:val="00E73012"/>
    <w:rsid w:val="00E75193"/>
    <w:rsid w:val="00E75DF4"/>
    <w:rsid w:val="00E7696A"/>
    <w:rsid w:val="00E76B97"/>
    <w:rsid w:val="00E7718E"/>
    <w:rsid w:val="00E777AF"/>
    <w:rsid w:val="00E777F8"/>
    <w:rsid w:val="00E80EBC"/>
    <w:rsid w:val="00E82902"/>
    <w:rsid w:val="00E82E59"/>
    <w:rsid w:val="00E84296"/>
    <w:rsid w:val="00E845F3"/>
    <w:rsid w:val="00E84B03"/>
    <w:rsid w:val="00E84E01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E12"/>
    <w:rsid w:val="00E94849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5B1"/>
    <w:rsid w:val="00EB3120"/>
    <w:rsid w:val="00EB3D50"/>
    <w:rsid w:val="00EB45BB"/>
    <w:rsid w:val="00EB4FEF"/>
    <w:rsid w:val="00EB77F5"/>
    <w:rsid w:val="00EC03BE"/>
    <w:rsid w:val="00EC04C9"/>
    <w:rsid w:val="00EC0FA9"/>
    <w:rsid w:val="00EC1B2D"/>
    <w:rsid w:val="00EC1D3E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1964"/>
    <w:rsid w:val="00ED2688"/>
    <w:rsid w:val="00ED4E5C"/>
    <w:rsid w:val="00EE082D"/>
    <w:rsid w:val="00EE08C5"/>
    <w:rsid w:val="00EE372A"/>
    <w:rsid w:val="00EE4827"/>
    <w:rsid w:val="00EE6F4C"/>
    <w:rsid w:val="00EE79D7"/>
    <w:rsid w:val="00EF0701"/>
    <w:rsid w:val="00EF0DBD"/>
    <w:rsid w:val="00EF12AC"/>
    <w:rsid w:val="00EF21E2"/>
    <w:rsid w:val="00EF2A05"/>
    <w:rsid w:val="00EF2C8E"/>
    <w:rsid w:val="00EF2D06"/>
    <w:rsid w:val="00EF2E7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2800"/>
    <w:rsid w:val="00F0320E"/>
    <w:rsid w:val="00F0387E"/>
    <w:rsid w:val="00F03B43"/>
    <w:rsid w:val="00F03D13"/>
    <w:rsid w:val="00F040F9"/>
    <w:rsid w:val="00F04156"/>
    <w:rsid w:val="00F05193"/>
    <w:rsid w:val="00F063D5"/>
    <w:rsid w:val="00F06541"/>
    <w:rsid w:val="00F070D6"/>
    <w:rsid w:val="00F07B6C"/>
    <w:rsid w:val="00F07BE3"/>
    <w:rsid w:val="00F07EC4"/>
    <w:rsid w:val="00F07F4E"/>
    <w:rsid w:val="00F10658"/>
    <w:rsid w:val="00F11730"/>
    <w:rsid w:val="00F133E1"/>
    <w:rsid w:val="00F13F7A"/>
    <w:rsid w:val="00F1444B"/>
    <w:rsid w:val="00F15D19"/>
    <w:rsid w:val="00F16046"/>
    <w:rsid w:val="00F161BA"/>
    <w:rsid w:val="00F16C34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4758"/>
    <w:rsid w:val="00F24927"/>
    <w:rsid w:val="00F25EF9"/>
    <w:rsid w:val="00F2776C"/>
    <w:rsid w:val="00F27C7B"/>
    <w:rsid w:val="00F27E1C"/>
    <w:rsid w:val="00F30306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2985"/>
    <w:rsid w:val="00F43E02"/>
    <w:rsid w:val="00F4454F"/>
    <w:rsid w:val="00F45E58"/>
    <w:rsid w:val="00F46173"/>
    <w:rsid w:val="00F462E4"/>
    <w:rsid w:val="00F4631D"/>
    <w:rsid w:val="00F4738C"/>
    <w:rsid w:val="00F47ABE"/>
    <w:rsid w:val="00F47C6C"/>
    <w:rsid w:val="00F47FE0"/>
    <w:rsid w:val="00F50EF1"/>
    <w:rsid w:val="00F513F0"/>
    <w:rsid w:val="00F52C01"/>
    <w:rsid w:val="00F555E1"/>
    <w:rsid w:val="00F55945"/>
    <w:rsid w:val="00F56065"/>
    <w:rsid w:val="00F56484"/>
    <w:rsid w:val="00F56658"/>
    <w:rsid w:val="00F56C05"/>
    <w:rsid w:val="00F56E59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200D"/>
    <w:rsid w:val="00F735BB"/>
    <w:rsid w:val="00F74937"/>
    <w:rsid w:val="00F7496A"/>
    <w:rsid w:val="00F760CD"/>
    <w:rsid w:val="00F774C1"/>
    <w:rsid w:val="00F77BF4"/>
    <w:rsid w:val="00F809BC"/>
    <w:rsid w:val="00F80C35"/>
    <w:rsid w:val="00F81BF3"/>
    <w:rsid w:val="00F82753"/>
    <w:rsid w:val="00F82A79"/>
    <w:rsid w:val="00F8318B"/>
    <w:rsid w:val="00F83C00"/>
    <w:rsid w:val="00F84490"/>
    <w:rsid w:val="00F8477B"/>
    <w:rsid w:val="00F8521A"/>
    <w:rsid w:val="00F8599E"/>
    <w:rsid w:val="00F85DC0"/>
    <w:rsid w:val="00F863A4"/>
    <w:rsid w:val="00F866FB"/>
    <w:rsid w:val="00F901D6"/>
    <w:rsid w:val="00F902CB"/>
    <w:rsid w:val="00F90D2E"/>
    <w:rsid w:val="00F92923"/>
    <w:rsid w:val="00F92B60"/>
    <w:rsid w:val="00F9306F"/>
    <w:rsid w:val="00F9397F"/>
    <w:rsid w:val="00F93DAF"/>
    <w:rsid w:val="00F94C74"/>
    <w:rsid w:val="00F95ADC"/>
    <w:rsid w:val="00F972E2"/>
    <w:rsid w:val="00F97955"/>
    <w:rsid w:val="00F979A4"/>
    <w:rsid w:val="00F97AB2"/>
    <w:rsid w:val="00FA0767"/>
    <w:rsid w:val="00FA0C50"/>
    <w:rsid w:val="00FA0C75"/>
    <w:rsid w:val="00FA1886"/>
    <w:rsid w:val="00FA1977"/>
    <w:rsid w:val="00FA2C8F"/>
    <w:rsid w:val="00FA37F1"/>
    <w:rsid w:val="00FA3F5C"/>
    <w:rsid w:val="00FA6CFE"/>
    <w:rsid w:val="00FA7C6D"/>
    <w:rsid w:val="00FB03EA"/>
    <w:rsid w:val="00FB05B8"/>
    <w:rsid w:val="00FB1962"/>
    <w:rsid w:val="00FB3D14"/>
    <w:rsid w:val="00FB4141"/>
    <w:rsid w:val="00FB4F84"/>
    <w:rsid w:val="00FB501C"/>
    <w:rsid w:val="00FB52F3"/>
    <w:rsid w:val="00FB6811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423E"/>
    <w:rsid w:val="00FC5BC1"/>
    <w:rsid w:val="00FC5C41"/>
    <w:rsid w:val="00FC6746"/>
    <w:rsid w:val="00FC69BB"/>
    <w:rsid w:val="00FC6C75"/>
    <w:rsid w:val="00FC71D7"/>
    <w:rsid w:val="00FC79E0"/>
    <w:rsid w:val="00FC7DF8"/>
    <w:rsid w:val="00FC7E1A"/>
    <w:rsid w:val="00FD0D5B"/>
    <w:rsid w:val="00FD1195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11A8"/>
    <w:rsid w:val="00FE1846"/>
    <w:rsid w:val="00FE1F6A"/>
    <w:rsid w:val="00FE3DB3"/>
    <w:rsid w:val="00FE4882"/>
    <w:rsid w:val="00FE5C15"/>
    <w:rsid w:val="00FE78D3"/>
    <w:rsid w:val="00FF0374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89CB65"/>
  <w15:docId w15:val="{31E68E0E-EA95-489D-BDB2-91C89C40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6">
    <w:name w:val="heading 6"/>
    <w:basedOn w:val="a"/>
    <w:next w:val="a"/>
    <w:link w:val="6Char"/>
    <w:semiHidden/>
    <w:unhideWhenUsed/>
    <w:qFormat/>
    <w:rsid w:val="0022091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목록 단락 Char"/>
    <w:link w:val="a4"/>
    <w:uiPriority w:val="34"/>
    <w:locked/>
    <w:rsid w:val="00BF03CF"/>
    <w:rPr>
      <w:rFonts w:eastAsia="맑은 고딕"/>
      <w:lang w:val="en-GB" w:eastAsia="en-US"/>
    </w:rPr>
  </w:style>
  <w:style w:type="character" w:styleId="af4">
    <w:name w:val="Hyperlink"/>
    <w:uiPriority w:val="99"/>
    <w:rsid w:val="0022091C"/>
    <w:rPr>
      <w:color w:val="0000FF"/>
      <w:u w:val="single"/>
    </w:rPr>
  </w:style>
  <w:style w:type="character" w:customStyle="1" w:styleId="6Char">
    <w:name w:val="제목 6 Char"/>
    <w:basedOn w:val="a0"/>
    <w:link w:val="6"/>
    <w:semiHidden/>
    <w:rsid w:val="0022091C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40ACA-42CD-49DD-A766-8D1C32D4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857</Words>
  <Characters>4887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3</cp:revision>
  <cp:lastPrinted>2012-03-15T10:36:00Z</cp:lastPrinted>
  <dcterms:created xsi:type="dcterms:W3CDTF">2017-05-04T08:25:00Z</dcterms:created>
  <dcterms:modified xsi:type="dcterms:W3CDTF">2017-05-04T08:30:00Z</dcterms:modified>
</cp:coreProperties>
</file>